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054E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1C1">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C18A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1C1">
              <w:rPr>
                <w:rFonts w:hint="eastAsia"/>
                <w:color w:val="auto"/>
                <w:sz w:val="32"/>
                <w:szCs w:val="32"/>
              </w:rPr>
              <w:t>処置の休日加算1（医科点数表第2章第9部処置の通則の5に掲げる処置の休日加算１）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738778" w:rsidR="006421D2" w:rsidRDefault="006421D2">
            <w:pPr>
              <w:kinsoku w:val="0"/>
              <w:autoSpaceDE w:val="0"/>
              <w:autoSpaceDN w:val="0"/>
              <w:spacing w:line="274" w:lineRule="atLeast"/>
              <w:rPr>
                <w:sz w:val="20"/>
                <w:szCs w:val="20"/>
              </w:rPr>
            </w:pPr>
            <w:r w:rsidRPr="001F5B58">
              <w:rPr>
                <w:sz w:val="20"/>
                <w:szCs w:val="20"/>
              </w:rPr>
              <w:t xml:space="preserve">    </w:t>
            </w:r>
            <w:r w:rsidR="00FD5DC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21C1"/>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D5DC2"/>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2024-03-11T06:52:00Z</dcterms:modified>
</cp:coreProperties>
</file>