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41094" w14:textId="5CD606FB" w:rsidR="00D50E43" w:rsidRPr="00056C36" w:rsidRDefault="00D50E43" w:rsidP="00D50E43">
      <w:pPr>
        <w:adjustRightInd/>
        <w:spacing w:line="338" w:lineRule="exac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spacing w:val="2"/>
          <w:sz w:val="24"/>
          <w:szCs w:val="24"/>
        </w:rPr>
        <w:t>様式</w:t>
      </w:r>
      <w:r w:rsidR="00866504" w:rsidRPr="00056C36">
        <w:rPr>
          <w:rFonts w:asciiTheme="majorEastAsia" w:eastAsiaTheme="majorEastAsia" w:hAnsiTheme="majorEastAsia" w:cs="ＭＳ ゴシック" w:hint="eastAsia"/>
          <w:color w:val="000000" w:themeColor="text1"/>
          <w:spacing w:val="2"/>
          <w:sz w:val="24"/>
          <w:szCs w:val="24"/>
        </w:rPr>
        <w:t>87</w:t>
      </w:r>
    </w:p>
    <w:p w14:paraId="11FCCA1F"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p w14:paraId="29E2BE43" w14:textId="2486F9E7" w:rsidR="00D50E43" w:rsidRPr="00056C36" w:rsidRDefault="00792EE3" w:rsidP="00D50E43">
      <w:pPr>
        <w:adjustRightInd/>
        <w:spacing w:line="378" w:lineRule="exact"/>
        <w:jc w:val="center"/>
        <w:rPr>
          <w:rFonts w:asciiTheme="majorEastAsia" w:eastAsiaTheme="majorEastAsia" w:hAnsiTheme="majorEastAsia" w:cs="Times New Roman"/>
          <w:color w:val="000000" w:themeColor="text1"/>
          <w:spacing w:val="6"/>
        </w:rPr>
      </w:pPr>
      <w:r>
        <w:rPr>
          <w:rFonts w:asciiTheme="majorEastAsia" w:eastAsiaTheme="majorEastAsia" w:hAnsiTheme="majorEastAsia" w:cs="ＭＳ ゴシック" w:hint="eastAsia"/>
          <w:color w:val="000000" w:themeColor="text1"/>
          <w:spacing w:val="2"/>
          <w:sz w:val="28"/>
          <w:szCs w:val="28"/>
        </w:rPr>
        <w:t>調剤基本料の注</w:t>
      </w:r>
      <w:r w:rsidR="00E1256C">
        <w:rPr>
          <w:rFonts w:asciiTheme="majorEastAsia" w:eastAsiaTheme="majorEastAsia" w:hAnsiTheme="majorEastAsia" w:cs="ＭＳ ゴシック" w:hint="eastAsia"/>
          <w:color w:val="000000" w:themeColor="text1"/>
          <w:spacing w:val="2"/>
          <w:sz w:val="28"/>
          <w:szCs w:val="28"/>
        </w:rPr>
        <w:t>７</w:t>
      </w:r>
      <w:r>
        <w:rPr>
          <w:rFonts w:asciiTheme="majorEastAsia" w:eastAsiaTheme="majorEastAsia" w:hAnsiTheme="majorEastAsia" w:cs="ＭＳ ゴシック" w:hint="eastAsia"/>
          <w:color w:val="000000" w:themeColor="text1"/>
          <w:spacing w:val="2"/>
          <w:sz w:val="28"/>
          <w:szCs w:val="28"/>
        </w:rPr>
        <w:t>に係る</w:t>
      </w:r>
      <w:r w:rsidR="00D50E43" w:rsidRPr="00056C36">
        <w:rPr>
          <w:rFonts w:asciiTheme="majorEastAsia" w:eastAsiaTheme="majorEastAsia" w:hAnsiTheme="majorEastAsia" w:cs="ＭＳ ゴシック" w:hint="eastAsia"/>
          <w:color w:val="000000" w:themeColor="text1"/>
          <w:spacing w:val="2"/>
          <w:sz w:val="28"/>
          <w:szCs w:val="28"/>
        </w:rPr>
        <w:t>後発医薬品調剤体制加算の施設基準に係る届出</w:t>
      </w:r>
      <w:r w:rsidR="0063763E" w:rsidRPr="00056C36">
        <w:rPr>
          <w:rFonts w:asciiTheme="majorEastAsia" w:eastAsiaTheme="majorEastAsia" w:hAnsiTheme="majorEastAsia" w:cs="ＭＳ ゴシック" w:hint="eastAsia"/>
          <w:color w:val="000000" w:themeColor="text1"/>
          <w:spacing w:val="2"/>
          <w:sz w:val="28"/>
          <w:szCs w:val="28"/>
        </w:rPr>
        <w:t>書添付書類及び「</w:t>
      </w:r>
      <w:r w:rsidR="009F4A29" w:rsidRPr="00056C36">
        <w:rPr>
          <w:rFonts w:asciiTheme="majorEastAsia" w:eastAsiaTheme="majorEastAsia" w:hAnsiTheme="majorEastAsia" w:cs="ＭＳ ゴシック" w:hint="eastAsia"/>
          <w:color w:val="000000" w:themeColor="text1"/>
          <w:spacing w:val="2"/>
          <w:sz w:val="28"/>
          <w:szCs w:val="28"/>
        </w:rPr>
        <w:t>調剤基本料の注</w:t>
      </w:r>
      <w:r w:rsidR="00E1256C">
        <w:rPr>
          <w:rFonts w:asciiTheme="majorEastAsia" w:eastAsiaTheme="majorEastAsia" w:hAnsiTheme="majorEastAsia" w:cs="ＭＳ ゴシック" w:hint="eastAsia"/>
          <w:color w:val="000000" w:themeColor="text1"/>
          <w:spacing w:val="2"/>
          <w:sz w:val="28"/>
          <w:szCs w:val="28"/>
        </w:rPr>
        <w:t>８</w:t>
      </w:r>
      <w:r>
        <w:rPr>
          <w:rFonts w:asciiTheme="majorEastAsia" w:eastAsiaTheme="majorEastAsia" w:hAnsiTheme="majorEastAsia" w:cs="ＭＳ ゴシック" w:hint="eastAsia"/>
          <w:color w:val="000000" w:themeColor="text1"/>
          <w:spacing w:val="2"/>
          <w:sz w:val="28"/>
          <w:szCs w:val="28"/>
        </w:rPr>
        <w:t>の後発医薬品調剤割合が著しく低い保険薬局</w:t>
      </w:r>
      <w:r w:rsidR="0063763E" w:rsidRPr="00056C36">
        <w:rPr>
          <w:rFonts w:asciiTheme="majorEastAsia" w:eastAsiaTheme="majorEastAsia" w:hAnsiTheme="majorEastAsia" w:cs="ＭＳ ゴシック" w:hint="eastAsia"/>
          <w:color w:val="000000" w:themeColor="text1"/>
          <w:spacing w:val="2"/>
          <w:sz w:val="28"/>
          <w:szCs w:val="28"/>
        </w:rPr>
        <w:t>に係る報告書」</w:t>
      </w:r>
    </w:p>
    <w:p w14:paraId="7AA9D040"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tbl>
      <w:tblPr>
        <w:tblW w:w="9724"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2"/>
        <w:gridCol w:w="6662"/>
      </w:tblGrid>
      <w:tr w:rsidR="00FA793A" w:rsidRPr="00056C36" w14:paraId="5AF4DDC9" w14:textId="77777777" w:rsidTr="007C3AF1">
        <w:trPr>
          <w:trHeight w:val="1350"/>
        </w:trPr>
        <w:tc>
          <w:tcPr>
            <w:tcW w:w="3062" w:type="dxa"/>
            <w:tcBorders>
              <w:top w:val="single" w:sz="12" w:space="0" w:color="auto"/>
              <w:left w:val="single" w:sz="12" w:space="0" w:color="auto"/>
              <w:bottom w:val="single" w:sz="4" w:space="0" w:color="auto"/>
              <w:right w:val="single" w:sz="4" w:space="0" w:color="000000"/>
            </w:tcBorders>
            <w:vAlign w:val="center"/>
          </w:tcPr>
          <w:p w14:paraId="5FA72521" w14:textId="77777777" w:rsidR="00FA793A" w:rsidRPr="00056C36" w:rsidRDefault="00FA793A" w:rsidP="0099134C">
            <w:pPr>
              <w:kinsoku w:val="0"/>
              <w:overflowPunct w:val="0"/>
              <w:autoSpaceDE w:val="0"/>
              <w:autoSpaceDN w:val="0"/>
              <w:spacing w:line="300" w:lineRule="atLeast"/>
              <w:jc w:val="both"/>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届出に係る後発医薬品調剤体制加算の区分</w:t>
            </w:r>
          </w:p>
          <w:p w14:paraId="2A4842D3" w14:textId="77777777" w:rsidR="00FA793A" w:rsidRPr="00056C36" w:rsidRDefault="00FA793A" w:rsidP="0099134C">
            <w:pPr>
              <w:kinsoku w:val="0"/>
              <w:overflowPunct w:val="0"/>
              <w:autoSpaceDE w:val="0"/>
              <w:autoSpaceDN w:val="0"/>
              <w:spacing w:line="300" w:lineRule="atLeast"/>
              <w:jc w:val="both"/>
              <w:rPr>
                <w:rFonts w:asciiTheme="majorEastAsia" w:eastAsiaTheme="majorEastAsia" w:hAnsiTheme="majorEastAsia" w:cs="Times New Roman"/>
                <w:color w:val="000000" w:themeColor="text1"/>
                <w:spacing w:val="14"/>
              </w:rPr>
            </w:pPr>
            <w:r w:rsidRPr="00056C36">
              <w:rPr>
                <w:rFonts w:asciiTheme="majorEastAsia" w:eastAsiaTheme="majorEastAsia" w:hAnsiTheme="majorEastAsia" w:cs="ＭＳ ゴシック" w:hint="eastAsia"/>
                <w:color w:val="000000" w:themeColor="text1"/>
                <w:spacing w:val="8"/>
              </w:rPr>
              <w:t>（いずれかに○を付す）</w:t>
            </w:r>
          </w:p>
        </w:tc>
        <w:tc>
          <w:tcPr>
            <w:tcW w:w="6662" w:type="dxa"/>
            <w:tcBorders>
              <w:top w:val="single" w:sz="12" w:space="0" w:color="auto"/>
              <w:left w:val="single" w:sz="4" w:space="0" w:color="000000"/>
              <w:bottom w:val="single" w:sz="4" w:space="0" w:color="auto"/>
              <w:right w:val="single" w:sz="12" w:space="0" w:color="auto"/>
            </w:tcBorders>
          </w:tcPr>
          <w:p w14:paraId="31385858" w14:textId="77777777" w:rsidR="00FA793A" w:rsidRPr="00056C36" w:rsidRDefault="00FA793A"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spacing w:val="8"/>
                <w:lang w:eastAsia="zh-CN"/>
              </w:rPr>
            </w:pPr>
            <w:r w:rsidRPr="00056C36">
              <w:rPr>
                <w:rFonts w:asciiTheme="majorEastAsia" w:eastAsiaTheme="majorEastAsia" w:hAnsiTheme="majorEastAsia" w:cs="ＭＳ ゴシック" w:hint="eastAsia"/>
                <w:color w:val="000000" w:themeColor="text1"/>
                <w:spacing w:val="8"/>
              </w:rPr>
              <w:t xml:space="preserve">　</w:t>
            </w:r>
            <w:r w:rsidRPr="00056C36">
              <w:rPr>
                <w:rFonts w:asciiTheme="majorEastAsia" w:eastAsiaTheme="majorEastAsia" w:hAnsiTheme="majorEastAsia" w:cs="ＭＳ ゴシック" w:hint="eastAsia"/>
                <w:color w:val="000000" w:themeColor="text1"/>
                <w:spacing w:val="8"/>
                <w:lang w:eastAsia="zh-CN"/>
              </w:rPr>
              <w:t>（　）　後発医薬品調剤体制加算１</w:t>
            </w:r>
          </w:p>
          <w:p w14:paraId="59A1EA94" w14:textId="692DCA5D" w:rsidR="00FA793A" w:rsidRPr="00056C36" w:rsidRDefault="00FA793A" w:rsidP="003E4C78">
            <w:pPr>
              <w:kinsoku w:val="0"/>
              <w:overflowPunct w:val="0"/>
              <w:autoSpaceDE w:val="0"/>
              <w:autoSpaceDN w:val="0"/>
              <w:spacing w:line="300" w:lineRule="atLeast"/>
              <w:ind w:firstLineChars="500" w:firstLine="115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（カットオフ値50％以上かつ新指標</w:t>
            </w:r>
            <w:r w:rsidR="001F2570">
              <w:rPr>
                <w:rFonts w:asciiTheme="majorEastAsia" w:eastAsiaTheme="majorEastAsia" w:hAnsiTheme="majorEastAsia" w:cs="ＭＳ ゴシック"/>
                <w:color w:val="000000" w:themeColor="text1"/>
                <w:spacing w:val="24"/>
              </w:rPr>
              <w:t>80</w:t>
            </w:r>
            <w:r w:rsidRPr="00056C36">
              <w:rPr>
                <w:rFonts w:asciiTheme="majorEastAsia" w:eastAsiaTheme="majorEastAsia" w:hAnsiTheme="majorEastAsia" w:cs="ＭＳ ゴシック" w:hint="eastAsia"/>
                <w:color w:val="000000" w:themeColor="text1"/>
                <w:spacing w:val="8"/>
              </w:rPr>
              <w:t>％以上）</w:t>
            </w:r>
          </w:p>
          <w:p w14:paraId="33B11BF7" w14:textId="77777777" w:rsidR="00FA793A" w:rsidRPr="00056C36" w:rsidRDefault="00FA793A"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spacing w:val="8"/>
                <w:lang w:eastAsia="zh-CN"/>
              </w:rPr>
            </w:pPr>
            <w:r w:rsidRPr="00056C36">
              <w:rPr>
                <w:rFonts w:asciiTheme="majorEastAsia" w:eastAsiaTheme="majorEastAsia" w:hAnsiTheme="majorEastAsia" w:cs="ＭＳ ゴシック" w:hint="eastAsia"/>
                <w:color w:val="000000" w:themeColor="text1"/>
                <w:spacing w:val="8"/>
              </w:rPr>
              <w:t xml:space="preserve">　</w:t>
            </w:r>
            <w:r w:rsidRPr="00056C36">
              <w:rPr>
                <w:rFonts w:asciiTheme="majorEastAsia" w:eastAsiaTheme="majorEastAsia" w:hAnsiTheme="majorEastAsia" w:cs="ＭＳ ゴシック" w:hint="eastAsia"/>
                <w:color w:val="000000" w:themeColor="text1"/>
                <w:spacing w:val="8"/>
                <w:lang w:eastAsia="zh-CN"/>
              </w:rPr>
              <w:t>（　）　後発医薬品調剤体制加算２</w:t>
            </w:r>
          </w:p>
          <w:p w14:paraId="7CDE8DBD" w14:textId="1CB93B83" w:rsidR="00FA793A" w:rsidRPr="00056C36" w:rsidRDefault="00FA793A" w:rsidP="003E4C78">
            <w:pPr>
              <w:kinsoku w:val="0"/>
              <w:overflowPunct w:val="0"/>
              <w:autoSpaceDE w:val="0"/>
              <w:autoSpaceDN w:val="0"/>
              <w:spacing w:line="300" w:lineRule="atLeast"/>
              <w:ind w:firstLineChars="500" w:firstLine="115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（カットオフ値50％以上かつ新指標</w:t>
            </w:r>
            <w:r w:rsidR="001F2570">
              <w:rPr>
                <w:rFonts w:asciiTheme="majorEastAsia" w:eastAsiaTheme="majorEastAsia" w:hAnsiTheme="majorEastAsia" w:cs="ＭＳ ゴシック"/>
                <w:color w:val="000000" w:themeColor="text1"/>
                <w:spacing w:val="24"/>
              </w:rPr>
              <w:t>85</w:t>
            </w:r>
            <w:r w:rsidRPr="00056C36">
              <w:rPr>
                <w:rFonts w:asciiTheme="majorEastAsia" w:eastAsiaTheme="majorEastAsia" w:hAnsiTheme="majorEastAsia" w:cs="ＭＳ ゴシック" w:hint="eastAsia"/>
                <w:color w:val="000000" w:themeColor="text1"/>
                <w:spacing w:val="8"/>
              </w:rPr>
              <w:t>％以上）</w:t>
            </w:r>
          </w:p>
          <w:p w14:paraId="00F091B6" w14:textId="44FA04F5" w:rsidR="00FA793A" w:rsidRPr="00056C36" w:rsidRDefault="00FA793A" w:rsidP="0063763E">
            <w:pPr>
              <w:kinsoku w:val="0"/>
              <w:overflowPunct w:val="0"/>
              <w:autoSpaceDE w:val="0"/>
              <w:autoSpaceDN w:val="0"/>
              <w:spacing w:line="300" w:lineRule="atLeast"/>
              <w:ind w:firstLineChars="100" w:firstLine="230"/>
              <w:rPr>
                <w:rFonts w:asciiTheme="majorEastAsia" w:eastAsiaTheme="majorEastAsia" w:hAnsiTheme="majorEastAsia" w:cs="ＭＳ ゴシック"/>
                <w:color w:val="000000" w:themeColor="text1"/>
                <w:spacing w:val="8"/>
                <w:lang w:eastAsia="zh-CN"/>
              </w:rPr>
            </w:pPr>
            <w:r w:rsidRPr="00056C36">
              <w:rPr>
                <w:rFonts w:asciiTheme="majorEastAsia" w:eastAsiaTheme="majorEastAsia" w:hAnsiTheme="majorEastAsia" w:cs="ＭＳ ゴシック" w:hint="eastAsia"/>
                <w:color w:val="000000" w:themeColor="text1"/>
                <w:spacing w:val="8"/>
                <w:lang w:eastAsia="zh-CN"/>
              </w:rPr>
              <w:t>（　）　後発医薬品調剤体制加算３</w:t>
            </w:r>
          </w:p>
          <w:p w14:paraId="2C8A914C" w14:textId="171C9E52" w:rsidR="00FA793A" w:rsidRPr="00056C36" w:rsidRDefault="00FA793A" w:rsidP="00FA793A">
            <w:pPr>
              <w:kinsoku w:val="0"/>
              <w:overflowPunct w:val="0"/>
              <w:autoSpaceDE w:val="0"/>
              <w:autoSpaceDN w:val="0"/>
              <w:spacing w:line="300" w:lineRule="atLeast"/>
              <w:ind w:firstLineChars="500" w:firstLine="115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（カットオフ値50％以上かつ新指標</w:t>
            </w:r>
            <w:r w:rsidR="001F2570">
              <w:rPr>
                <w:rFonts w:asciiTheme="majorEastAsia" w:eastAsiaTheme="majorEastAsia" w:hAnsiTheme="majorEastAsia" w:cs="ＭＳ ゴシック"/>
                <w:color w:val="000000" w:themeColor="text1"/>
                <w:spacing w:val="24"/>
              </w:rPr>
              <w:t>90</w:t>
            </w:r>
            <w:r w:rsidRPr="00056C36">
              <w:rPr>
                <w:rFonts w:asciiTheme="majorEastAsia" w:eastAsiaTheme="majorEastAsia" w:hAnsiTheme="majorEastAsia" w:cs="ＭＳ ゴシック" w:hint="eastAsia"/>
                <w:color w:val="000000" w:themeColor="text1"/>
                <w:spacing w:val="8"/>
              </w:rPr>
              <w:t>％以上）</w:t>
            </w:r>
          </w:p>
        </w:tc>
      </w:tr>
      <w:tr w:rsidR="00FA793A" w:rsidRPr="00056C36" w14:paraId="4BD97FD1" w14:textId="77777777" w:rsidTr="007C3AF1">
        <w:trPr>
          <w:trHeight w:val="1005"/>
        </w:trPr>
        <w:tc>
          <w:tcPr>
            <w:tcW w:w="3062" w:type="dxa"/>
            <w:tcBorders>
              <w:top w:val="single" w:sz="4" w:space="0" w:color="auto"/>
              <w:left w:val="single" w:sz="12" w:space="0" w:color="auto"/>
              <w:bottom w:val="single" w:sz="12" w:space="0" w:color="auto"/>
              <w:right w:val="single" w:sz="4" w:space="0" w:color="000000"/>
            </w:tcBorders>
            <w:vAlign w:val="center"/>
          </w:tcPr>
          <w:p w14:paraId="0A1B64A8" w14:textId="3FF280B6" w:rsidR="00FA793A" w:rsidRPr="00056C36" w:rsidRDefault="00815474" w:rsidP="0099134C">
            <w:pPr>
              <w:kinsoku w:val="0"/>
              <w:overflowPunct w:val="0"/>
              <w:autoSpaceDE w:val="0"/>
              <w:autoSpaceDN w:val="0"/>
              <w:spacing w:line="300" w:lineRule="atLeast"/>
              <w:jc w:val="both"/>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調剤基本料の「注</w:t>
            </w:r>
            <w:r w:rsidR="001F2570">
              <w:rPr>
                <w:rFonts w:asciiTheme="majorEastAsia" w:eastAsiaTheme="majorEastAsia" w:hAnsiTheme="majorEastAsia" w:cs="ＭＳ ゴシック" w:hint="eastAsia"/>
                <w:color w:val="000000" w:themeColor="text1"/>
                <w:spacing w:val="8"/>
              </w:rPr>
              <w:t>８</w:t>
            </w:r>
            <w:r w:rsidRPr="00056C36">
              <w:rPr>
                <w:rFonts w:asciiTheme="majorEastAsia" w:eastAsiaTheme="majorEastAsia" w:hAnsiTheme="majorEastAsia" w:cs="ＭＳ ゴシック" w:hint="eastAsia"/>
                <w:color w:val="000000" w:themeColor="text1"/>
                <w:spacing w:val="8"/>
              </w:rPr>
              <w:t>」</w:t>
            </w:r>
            <w:r w:rsidR="00FA793A" w:rsidRPr="00056C36">
              <w:rPr>
                <w:rFonts w:asciiTheme="majorEastAsia" w:eastAsiaTheme="majorEastAsia" w:hAnsiTheme="majorEastAsia" w:cs="ＭＳ ゴシック" w:hint="eastAsia"/>
                <w:color w:val="000000" w:themeColor="text1"/>
                <w:spacing w:val="8"/>
              </w:rPr>
              <w:t>（</w:t>
            </w:r>
            <w:r w:rsidRPr="00056C36">
              <w:rPr>
                <w:rFonts w:asciiTheme="majorEastAsia" w:eastAsiaTheme="majorEastAsia" w:hAnsiTheme="majorEastAsia" w:cs="ＭＳ ゴシック" w:hint="eastAsia"/>
                <w:color w:val="000000" w:themeColor="text1"/>
                <w:spacing w:val="8"/>
              </w:rPr>
              <w:t>後発医薬品調剤割合が著しく低い保険薬局</w:t>
            </w:r>
            <w:r w:rsidR="00FA793A" w:rsidRPr="00056C36">
              <w:rPr>
                <w:rFonts w:asciiTheme="majorEastAsia" w:eastAsiaTheme="majorEastAsia" w:hAnsiTheme="majorEastAsia" w:cs="ＭＳ ゴシック" w:hint="eastAsia"/>
                <w:color w:val="000000" w:themeColor="text1"/>
                <w:spacing w:val="8"/>
              </w:rPr>
              <w:t>）への該当性</w:t>
            </w:r>
          </w:p>
          <w:p w14:paraId="0D8DBB08" w14:textId="621BA943" w:rsidR="00F0379F" w:rsidRPr="00056C36" w:rsidRDefault="00F0379F" w:rsidP="0099134C">
            <w:pPr>
              <w:kinsoku w:val="0"/>
              <w:overflowPunct w:val="0"/>
              <w:autoSpaceDE w:val="0"/>
              <w:autoSpaceDN w:val="0"/>
              <w:spacing w:line="300" w:lineRule="atLeast"/>
              <w:jc w:val="both"/>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（該当する場合に○を付す）</w:t>
            </w:r>
          </w:p>
        </w:tc>
        <w:tc>
          <w:tcPr>
            <w:tcW w:w="6662" w:type="dxa"/>
            <w:tcBorders>
              <w:top w:val="single" w:sz="4" w:space="0" w:color="auto"/>
              <w:left w:val="single" w:sz="4" w:space="0" w:color="000000"/>
              <w:bottom w:val="single" w:sz="12" w:space="0" w:color="auto"/>
              <w:right w:val="single" w:sz="12" w:space="0" w:color="auto"/>
            </w:tcBorders>
            <w:vAlign w:val="center"/>
          </w:tcPr>
          <w:p w14:paraId="07CA112D" w14:textId="2C42404C" w:rsidR="00FA793A" w:rsidRPr="00056C36" w:rsidRDefault="00FA793A" w:rsidP="00056C36">
            <w:pPr>
              <w:kinsoku w:val="0"/>
              <w:overflowPunct w:val="0"/>
              <w:autoSpaceDE w:val="0"/>
              <w:autoSpaceDN w:val="0"/>
              <w:spacing w:line="300" w:lineRule="atLeast"/>
              <w:ind w:firstLineChars="100" w:firstLine="23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xml:space="preserve">（　）　</w:t>
            </w:r>
            <w:r w:rsidR="00C449BD" w:rsidRPr="00056C36">
              <w:rPr>
                <w:rFonts w:asciiTheme="majorEastAsia" w:eastAsiaTheme="majorEastAsia" w:hAnsiTheme="majorEastAsia" w:cs="ＭＳ ゴシック" w:hint="eastAsia"/>
                <w:color w:val="000000" w:themeColor="text1"/>
                <w:spacing w:val="8"/>
              </w:rPr>
              <w:t>該当しない</w:t>
            </w:r>
            <w:r w:rsidRPr="00056C36">
              <w:rPr>
                <w:rFonts w:asciiTheme="majorEastAsia" w:eastAsiaTheme="majorEastAsia" w:hAnsiTheme="majorEastAsia" w:cs="ＭＳ ゴシック" w:hint="eastAsia"/>
                <w:color w:val="000000" w:themeColor="text1"/>
                <w:spacing w:val="8"/>
              </w:rPr>
              <w:t>（新指標</w:t>
            </w:r>
            <w:r w:rsidR="001F2570">
              <w:rPr>
                <w:rFonts w:asciiTheme="majorEastAsia" w:eastAsiaTheme="majorEastAsia" w:hAnsiTheme="majorEastAsia" w:cs="ＭＳ ゴシック"/>
                <w:color w:val="000000" w:themeColor="text1"/>
                <w:spacing w:val="24"/>
              </w:rPr>
              <w:t>50</w:t>
            </w:r>
            <w:r w:rsidRPr="00056C36">
              <w:rPr>
                <w:rFonts w:asciiTheme="majorEastAsia" w:eastAsiaTheme="majorEastAsia" w:hAnsiTheme="majorEastAsia" w:cs="ＭＳ ゴシック" w:hint="eastAsia"/>
                <w:color w:val="000000" w:themeColor="text1"/>
                <w:spacing w:val="8"/>
              </w:rPr>
              <w:t>％</w:t>
            </w:r>
            <w:r w:rsidR="00EE6614" w:rsidRPr="00056C36">
              <w:rPr>
                <w:rFonts w:asciiTheme="majorEastAsia" w:eastAsiaTheme="majorEastAsia" w:hAnsiTheme="majorEastAsia" w:cs="ＭＳ ゴシック" w:hint="eastAsia"/>
                <w:color w:val="000000" w:themeColor="text1"/>
                <w:spacing w:val="8"/>
              </w:rPr>
              <w:t>超</w:t>
            </w:r>
            <w:r w:rsidRPr="00056C36">
              <w:rPr>
                <w:rFonts w:asciiTheme="majorEastAsia" w:eastAsiaTheme="majorEastAsia" w:hAnsiTheme="majorEastAsia" w:cs="ＭＳ ゴシック" w:hint="eastAsia"/>
                <w:color w:val="000000" w:themeColor="text1"/>
                <w:spacing w:val="8"/>
              </w:rPr>
              <w:t>）</w:t>
            </w:r>
          </w:p>
          <w:p w14:paraId="6E01B05B" w14:textId="7292553A" w:rsidR="00FA793A" w:rsidRPr="00056C36" w:rsidRDefault="00FA793A" w:rsidP="00056C36">
            <w:pPr>
              <w:kinsoku w:val="0"/>
              <w:overflowPunct w:val="0"/>
              <w:autoSpaceDE w:val="0"/>
              <w:autoSpaceDN w:val="0"/>
              <w:spacing w:line="300" w:lineRule="atLeast"/>
              <w:ind w:firstLineChars="100" w:firstLine="230"/>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xml:space="preserve">（　）　</w:t>
            </w:r>
            <w:r w:rsidR="00C449BD" w:rsidRPr="00056C36">
              <w:rPr>
                <w:rFonts w:asciiTheme="majorEastAsia" w:eastAsiaTheme="majorEastAsia" w:hAnsiTheme="majorEastAsia" w:cs="ＭＳ ゴシック" w:hint="eastAsia"/>
                <w:color w:val="000000" w:themeColor="text1"/>
                <w:spacing w:val="8"/>
              </w:rPr>
              <w:t>該当する</w:t>
            </w:r>
            <w:r w:rsidRPr="00056C36">
              <w:rPr>
                <w:rFonts w:asciiTheme="majorEastAsia" w:eastAsiaTheme="majorEastAsia" w:hAnsiTheme="majorEastAsia" w:cs="ＭＳ ゴシック" w:hint="eastAsia"/>
                <w:color w:val="000000" w:themeColor="text1"/>
                <w:spacing w:val="8"/>
              </w:rPr>
              <w:t>（新指標</w:t>
            </w:r>
            <w:r w:rsidR="001F2570">
              <w:rPr>
                <w:rFonts w:asciiTheme="majorEastAsia" w:eastAsiaTheme="majorEastAsia" w:hAnsiTheme="majorEastAsia" w:cs="ＭＳ ゴシック"/>
                <w:color w:val="000000" w:themeColor="text1"/>
                <w:spacing w:val="24"/>
              </w:rPr>
              <w:t>50</w:t>
            </w:r>
            <w:r w:rsidRPr="00056C36">
              <w:rPr>
                <w:rFonts w:asciiTheme="majorEastAsia" w:eastAsiaTheme="majorEastAsia" w:hAnsiTheme="majorEastAsia" w:cs="ＭＳ ゴシック" w:hint="eastAsia"/>
                <w:color w:val="000000" w:themeColor="text1"/>
                <w:spacing w:val="8"/>
              </w:rPr>
              <w:t>％</w:t>
            </w:r>
            <w:r w:rsidR="00EE6614" w:rsidRPr="00056C36">
              <w:rPr>
                <w:rFonts w:asciiTheme="majorEastAsia" w:eastAsiaTheme="majorEastAsia" w:hAnsiTheme="majorEastAsia" w:cs="ＭＳ ゴシック" w:hint="eastAsia"/>
                <w:color w:val="000000" w:themeColor="text1"/>
                <w:spacing w:val="8"/>
              </w:rPr>
              <w:t>以下</w:t>
            </w:r>
            <w:r w:rsidRPr="00056C36">
              <w:rPr>
                <w:rFonts w:asciiTheme="majorEastAsia" w:eastAsiaTheme="majorEastAsia" w:hAnsiTheme="majorEastAsia" w:cs="ＭＳ ゴシック" w:hint="eastAsia"/>
                <w:color w:val="000000" w:themeColor="text1"/>
                <w:spacing w:val="8"/>
              </w:rPr>
              <w:t>）</w:t>
            </w:r>
          </w:p>
          <w:p w14:paraId="114CD6CF" w14:textId="5AE1D4B1" w:rsidR="00FA793A" w:rsidRPr="00056C36" w:rsidRDefault="00FA793A" w:rsidP="007C3AF1">
            <w:pPr>
              <w:kinsoku w:val="0"/>
              <w:overflowPunct w:val="0"/>
              <w:autoSpaceDE w:val="0"/>
              <w:autoSpaceDN w:val="0"/>
              <w:spacing w:line="300" w:lineRule="atLeast"/>
              <w:jc w:val="right"/>
              <w:rPr>
                <w:rFonts w:asciiTheme="majorEastAsia" w:eastAsiaTheme="majorEastAsia" w:hAnsiTheme="majorEastAsia" w:cs="ＭＳ ゴシック"/>
                <w:color w:val="000000" w:themeColor="text1"/>
                <w:spacing w:val="8"/>
              </w:rPr>
            </w:pPr>
            <w:r w:rsidRPr="00056C36">
              <w:rPr>
                <w:rFonts w:asciiTheme="majorEastAsia" w:eastAsiaTheme="majorEastAsia" w:hAnsiTheme="majorEastAsia" w:cs="ＭＳ ゴシック" w:hint="eastAsia"/>
                <w:color w:val="000000" w:themeColor="text1"/>
                <w:spacing w:val="8"/>
              </w:rPr>
              <w:t>→（　）処方箋の受付状況</w:t>
            </w:r>
            <w:r w:rsidR="00EE6614" w:rsidRPr="00056C36">
              <w:rPr>
                <w:rFonts w:asciiTheme="majorEastAsia" w:eastAsiaTheme="majorEastAsia" w:hAnsiTheme="majorEastAsia" w:cs="ＭＳ ゴシック" w:hint="eastAsia"/>
                <w:color w:val="000000" w:themeColor="text1"/>
                <w:spacing w:val="8"/>
              </w:rPr>
              <w:t>を踏まえ</w:t>
            </w:r>
            <w:r w:rsidRPr="00056C36">
              <w:rPr>
                <w:rFonts w:asciiTheme="majorEastAsia" w:eastAsiaTheme="majorEastAsia" w:hAnsiTheme="majorEastAsia" w:cs="ＭＳ ゴシック" w:hint="eastAsia"/>
                <w:color w:val="000000" w:themeColor="text1"/>
                <w:spacing w:val="8"/>
              </w:rPr>
              <w:t>やむを得ないものに該当</w:t>
            </w:r>
          </w:p>
        </w:tc>
      </w:tr>
    </w:tbl>
    <w:p w14:paraId="7EED454D"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48"/>
        <w:gridCol w:w="1404"/>
        <w:gridCol w:w="1403"/>
        <w:gridCol w:w="1404"/>
        <w:gridCol w:w="2169"/>
      </w:tblGrid>
      <w:tr w:rsidR="00D50E43" w:rsidRPr="00056C36" w14:paraId="6787B594" w14:textId="77777777" w:rsidTr="007C3AF1">
        <w:tc>
          <w:tcPr>
            <w:tcW w:w="9728" w:type="dxa"/>
            <w:gridSpan w:val="5"/>
            <w:tcBorders>
              <w:top w:val="single" w:sz="12" w:space="0" w:color="000000"/>
              <w:left w:val="single" w:sz="12" w:space="0" w:color="000000"/>
              <w:bottom w:val="nil"/>
              <w:right w:val="single" w:sz="12" w:space="0" w:color="000000"/>
            </w:tcBorders>
            <w:vAlign w:val="center"/>
          </w:tcPr>
          <w:p w14:paraId="6F88A0A4" w14:textId="77777777" w:rsidR="00D50E43" w:rsidRPr="00056C36" w:rsidRDefault="00D50E43" w:rsidP="003E4C78">
            <w:pPr>
              <w:kinsoku w:val="0"/>
              <w:overflowPunct w:val="0"/>
              <w:autoSpaceDE w:val="0"/>
              <w:autoSpaceDN w:val="0"/>
              <w:spacing w:line="300" w:lineRule="exact"/>
              <w:jc w:val="center"/>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全医薬品の規格単位数量及び後発医薬品の規格単位数量並びにその割合</w:t>
            </w:r>
          </w:p>
        </w:tc>
      </w:tr>
      <w:tr w:rsidR="00D50E43" w:rsidRPr="00056C36" w14:paraId="2DE7F8F8" w14:textId="77777777" w:rsidTr="007C3AF1">
        <w:tc>
          <w:tcPr>
            <w:tcW w:w="3348" w:type="dxa"/>
            <w:tcBorders>
              <w:top w:val="single" w:sz="12" w:space="0" w:color="000000"/>
              <w:left w:val="single" w:sz="12" w:space="0" w:color="000000"/>
              <w:bottom w:val="nil"/>
              <w:right w:val="single" w:sz="4" w:space="0" w:color="000000"/>
            </w:tcBorders>
          </w:tcPr>
          <w:p w14:paraId="5C4DCE4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FF02A2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期　　　間</w:t>
            </w:r>
          </w:p>
          <w:p w14:paraId="2B8DED4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（届出時の直近３か月間：１か月　ごと及び３か月間の合計）</w:t>
            </w:r>
          </w:p>
          <w:p w14:paraId="7ED40E0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nil"/>
              <w:right w:val="single" w:sz="4" w:space="0" w:color="000000"/>
            </w:tcBorders>
          </w:tcPr>
          <w:p w14:paraId="282B624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3665D7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年　　月</w:t>
            </w:r>
          </w:p>
          <w:p w14:paraId="291C7AF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4A7372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DFC3EB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12" w:space="0" w:color="000000"/>
              <w:left w:val="single" w:sz="4" w:space="0" w:color="000000"/>
              <w:bottom w:val="nil"/>
              <w:right w:val="single" w:sz="4" w:space="0" w:color="000000"/>
            </w:tcBorders>
          </w:tcPr>
          <w:p w14:paraId="30FFDBD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2A262C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年　　月</w:t>
            </w:r>
          </w:p>
          <w:p w14:paraId="0AB48706"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AACA80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CB6ECE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nil"/>
              <w:right w:val="single" w:sz="12" w:space="0" w:color="000000"/>
            </w:tcBorders>
          </w:tcPr>
          <w:p w14:paraId="70AA79D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711CC0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年　　月</w:t>
            </w:r>
          </w:p>
          <w:p w14:paraId="60CC2F8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4486733"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8ABCD7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12" w:space="0" w:color="000000"/>
              <w:left w:val="single" w:sz="12" w:space="0" w:color="000000"/>
              <w:bottom w:val="nil"/>
              <w:right w:val="single" w:sz="12" w:space="0" w:color="000000"/>
            </w:tcBorders>
          </w:tcPr>
          <w:p w14:paraId="31F73CE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4E94E5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年　　月</w:t>
            </w:r>
          </w:p>
          <w:p w14:paraId="356FAF0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　　年　　月</w:t>
            </w:r>
          </w:p>
          <w:p w14:paraId="1899B12D"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（直近３か月間の</w:t>
            </w:r>
          </w:p>
          <w:p w14:paraId="5B2ECFD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 xml:space="preserve">　合計）</w:t>
            </w:r>
          </w:p>
        </w:tc>
      </w:tr>
      <w:tr w:rsidR="00D50E43" w:rsidRPr="00056C36" w14:paraId="4E850D49" w14:textId="77777777" w:rsidTr="007C3AF1">
        <w:tc>
          <w:tcPr>
            <w:tcW w:w="3348" w:type="dxa"/>
            <w:tcBorders>
              <w:top w:val="single" w:sz="4" w:space="0" w:color="000000"/>
              <w:left w:val="single" w:sz="12" w:space="0" w:color="000000"/>
              <w:bottom w:val="nil"/>
              <w:right w:val="single" w:sz="4" w:space="0" w:color="000000"/>
            </w:tcBorders>
          </w:tcPr>
          <w:p w14:paraId="37470CB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BBFEBC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全医薬品の規格単位数量（①）</w:t>
            </w:r>
          </w:p>
          <w:p w14:paraId="4CC3F6B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4" w:space="0" w:color="000000"/>
            </w:tcBorders>
          </w:tcPr>
          <w:p w14:paraId="14DCE61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9747DE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050F4743"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4" w:space="0" w:color="000000"/>
              <w:left w:val="single" w:sz="4" w:space="0" w:color="000000"/>
              <w:bottom w:val="nil"/>
              <w:right w:val="single" w:sz="4" w:space="0" w:color="000000"/>
            </w:tcBorders>
          </w:tcPr>
          <w:p w14:paraId="362D934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0D78F97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5082EA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12" w:space="0" w:color="000000"/>
            </w:tcBorders>
          </w:tcPr>
          <w:p w14:paraId="55F30C1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822DFF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CF7B166"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4" w:space="0" w:color="000000"/>
              <w:left w:val="single" w:sz="12" w:space="0" w:color="000000"/>
              <w:bottom w:val="nil"/>
              <w:right w:val="single" w:sz="12" w:space="0" w:color="000000"/>
            </w:tcBorders>
          </w:tcPr>
          <w:p w14:paraId="655D4A4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6F776C9"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E94D39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0DC1F8EA" w14:textId="77777777" w:rsidTr="007C3AF1">
        <w:trPr>
          <w:trHeight w:val="907"/>
        </w:trPr>
        <w:tc>
          <w:tcPr>
            <w:tcW w:w="3348" w:type="dxa"/>
            <w:tcBorders>
              <w:top w:val="single" w:sz="4" w:space="0" w:color="000000"/>
              <w:left w:val="single" w:sz="12" w:space="0" w:color="000000"/>
              <w:bottom w:val="nil"/>
              <w:right w:val="single" w:sz="4" w:space="0" w:color="000000"/>
            </w:tcBorders>
          </w:tcPr>
          <w:p w14:paraId="615B786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後発医薬品あり先発医薬品及び後発医薬品の規格単位数量　　　　　　　　　　　　　（②）</w:t>
            </w:r>
          </w:p>
        </w:tc>
        <w:tc>
          <w:tcPr>
            <w:tcW w:w="1404" w:type="dxa"/>
            <w:tcBorders>
              <w:top w:val="single" w:sz="4" w:space="0" w:color="000000"/>
              <w:left w:val="single" w:sz="4" w:space="0" w:color="000000"/>
              <w:bottom w:val="nil"/>
              <w:right w:val="single" w:sz="4" w:space="0" w:color="000000"/>
            </w:tcBorders>
          </w:tcPr>
          <w:p w14:paraId="0D2784F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4" w:space="0" w:color="000000"/>
              <w:left w:val="single" w:sz="4" w:space="0" w:color="000000"/>
              <w:bottom w:val="nil"/>
              <w:right w:val="single" w:sz="4" w:space="0" w:color="000000"/>
            </w:tcBorders>
          </w:tcPr>
          <w:p w14:paraId="4025381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12" w:space="0" w:color="000000"/>
            </w:tcBorders>
          </w:tcPr>
          <w:p w14:paraId="6EE4EEC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4" w:space="0" w:color="000000"/>
              <w:left w:val="single" w:sz="12" w:space="0" w:color="000000"/>
              <w:bottom w:val="nil"/>
              <w:right w:val="single" w:sz="12" w:space="0" w:color="000000"/>
            </w:tcBorders>
          </w:tcPr>
          <w:p w14:paraId="5FA9BCE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5017D399" w14:textId="77777777" w:rsidTr="007C3AF1">
        <w:tc>
          <w:tcPr>
            <w:tcW w:w="3348" w:type="dxa"/>
            <w:tcBorders>
              <w:top w:val="single" w:sz="4" w:space="0" w:color="000000"/>
              <w:left w:val="single" w:sz="12" w:space="0" w:color="000000"/>
              <w:bottom w:val="nil"/>
              <w:right w:val="single" w:sz="4" w:space="0" w:color="000000"/>
            </w:tcBorders>
          </w:tcPr>
          <w:p w14:paraId="6576E58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D512313"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後発医薬品の規格単位数量（③）</w:t>
            </w:r>
          </w:p>
          <w:p w14:paraId="4CBB430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4" w:space="0" w:color="000000"/>
            </w:tcBorders>
          </w:tcPr>
          <w:p w14:paraId="4706528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5899FF9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6EEC37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4" w:space="0" w:color="000000"/>
              <w:left w:val="single" w:sz="4" w:space="0" w:color="000000"/>
              <w:bottom w:val="nil"/>
              <w:right w:val="single" w:sz="4" w:space="0" w:color="000000"/>
            </w:tcBorders>
          </w:tcPr>
          <w:p w14:paraId="30CE230C"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F23434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6D8ABF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4" w:space="0" w:color="000000"/>
              <w:left w:val="single" w:sz="4" w:space="0" w:color="000000"/>
              <w:bottom w:val="nil"/>
              <w:right w:val="single" w:sz="12" w:space="0" w:color="000000"/>
            </w:tcBorders>
          </w:tcPr>
          <w:p w14:paraId="314942C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2927F7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292FD4A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4" w:space="0" w:color="000000"/>
              <w:left w:val="single" w:sz="12" w:space="0" w:color="000000"/>
              <w:bottom w:val="nil"/>
              <w:right w:val="single" w:sz="12" w:space="0" w:color="000000"/>
            </w:tcBorders>
          </w:tcPr>
          <w:p w14:paraId="2AFE439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7773DCC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2E9D83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69585761" w14:textId="77777777" w:rsidTr="007C3AF1">
        <w:trPr>
          <w:trHeight w:val="1010"/>
        </w:trPr>
        <w:tc>
          <w:tcPr>
            <w:tcW w:w="3348" w:type="dxa"/>
            <w:tcBorders>
              <w:top w:val="single" w:sz="12" w:space="0" w:color="000000"/>
              <w:left w:val="single" w:sz="12" w:space="0" w:color="000000"/>
              <w:bottom w:val="single" w:sz="12" w:space="0" w:color="000000"/>
              <w:right w:val="single" w:sz="4" w:space="0" w:color="000000"/>
            </w:tcBorders>
          </w:tcPr>
          <w:p w14:paraId="3D1D81D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00A756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056C36">
              <w:rPr>
                <w:rFonts w:asciiTheme="majorEastAsia" w:eastAsiaTheme="majorEastAsia" w:hAnsiTheme="majorEastAsia" w:cs="ＭＳ ゴシック" w:hint="eastAsia"/>
                <w:color w:val="000000" w:themeColor="text1"/>
              </w:rPr>
              <w:t>カットオフ値の割合</w:t>
            </w:r>
          </w:p>
          <w:p w14:paraId="6F3DE839" w14:textId="6A9AAD3E" w:rsidR="00D50E43" w:rsidRPr="00056C36" w:rsidRDefault="00D50E43" w:rsidP="008209ED">
            <w:pPr>
              <w:kinsoku w:val="0"/>
              <w:overflowPunct w:val="0"/>
              <w:autoSpaceDE w:val="0"/>
              <w:autoSpaceDN w:val="0"/>
              <w:spacing w:line="300" w:lineRule="atLeast"/>
              <w:ind w:firstLineChars="700" w:firstLine="1498"/>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（②／①</w:t>
            </w:r>
            <w:r w:rsidRPr="00056C36">
              <w:rPr>
                <w:rFonts w:asciiTheme="majorEastAsia" w:eastAsiaTheme="majorEastAsia" w:hAnsiTheme="majorEastAsia" w:cs="ＭＳ ゴシック"/>
                <w:color w:val="000000" w:themeColor="text1"/>
              </w:rPr>
              <w:t>）（</w:t>
            </w:r>
            <w:r w:rsidRPr="00056C36">
              <w:rPr>
                <w:rFonts w:asciiTheme="majorEastAsia" w:eastAsiaTheme="majorEastAsia" w:hAnsiTheme="majorEastAsia" w:cs="ＭＳ ゴシック" w:hint="eastAsia"/>
                <w:color w:val="000000" w:themeColor="text1"/>
              </w:rPr>
              <w:t>％）</w:t>
            </w:r>
          </w:p>
        </w:tc>
        <w:tc>
          <w:tcPr>
            <w:tcW w:w="1404" w:type="dxa"/>
            <w:tcBorders>
              <w:top w:val="single" w:sz="12" w:space="0" w:color="000000"/>
              <w:left w:val="single" w:sz="4" w:space="0" w:color="000000"/>
              <w:bottom w:val="single" w:sz="12" w:space="0" w:color="000000"/>
              <w:right w:val="single" w:sz="4" w:space="0" w:color="000000"/>
            </w:tcBorders>
          </w:tcPr>
          <w:p w14:paraId="3502CD7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7902FE8"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1D65721"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12" w:space="0" w:color="000000"/>
              <w:left w:val="single" w:sz="4" w:space="0" w:color="000000"/>
              <w:bottom w:val="single" w:sz="12" w:space="0" w:color="000000"/>
              <w:right w:val="single" w:sz="4" w:space="0" w:color="000000"/>
            </w:tcBorders>
          </w:tcPr>
          <w:p w14:paraId="56D97464"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F52F8B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E87DBC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single" w:sz="12" w:space="0" w:color="000000"/>
              <w:right w:val="single" w:sz="12" w:space="0" w:color="000000"/>
            </w:tcBorders>
          </w:tcPr>
          <w:p w14:paraId="4D07A27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38F046AF"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69DFAE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12" w:space="0" w:color="000000"/>
              <w:left w:val="single" w:sz="12" w:space="0" w:color="000000"/>
              <w:bottom w:val="single" w:sz="12" w:space="0" w:color="000000"/>
              <w:right w:val="single" w:sz="12" w:space="0" w:color="000000"/>
            </w:tcBorders>
          </w:tcPr>
          <w:p w14:paraId="45AE6560"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E73F35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4284525B"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r w:rsidR="00D50E43" w:rsidRPr="00056C36" w14:paraId="31B2830B" w14:textId="77777777" w:rsidTr="007C3AF1">
        <w:trPr>
          <w:trHeight w:val="944"/>
        </w:trPr>
        <w:tc>
          <w:tcPr>
            <w:tcW w:w="3348" w:type="dxa"/>
            <w:tcBorders>
              <w:top w:val="single" w:sz="12" w:space="0" w:color="000000"/>
              <w:left w:val="single" w:sz="12" w:space="0" w:color="000000"/>
              <w:bottom w:val="single" w:sz="12" w:space="0" w:color="000000"/>
              <w:right w:val="single" w:sz="4" w:space="0" w:color="000000"/>
            </w:tcBorders>
          </w:tcPr>
          <w:p w14:paraId="7D1D1AC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0990567"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ＭＳ ゴシック"/>
                <w:color w:val="000000" w:themeColor="text1"/>
              </w:rPr>
            </w:pPr>
            <w:r w:rsidRPr="00056C36">
              <w:rPr>
                <w:rFonts w:asciiTheme="majorEastAsia" w:eastAsiaTheme="majorEastAsia" w:hAnsiTheme="majorEastAsia" w:cs="ＭＳ ゴシック" w:hint="eastAsia"/>
                <w:color w:val="000000" w:themeColor="text1"/>
              </w:rPr>
              <w:t>新指標の割合</w:t>
            </w:r>
          </w:p>
          <w:p w14:paraId="37E8AF86" w14:textId="4AF50DFF" w:rsidR="00D50E43" w:rsidRPr="00056C36" w:rsidRDefault="00D50E43" w:rsidP="008209ED">
            <w:pPr>
              <w:kinsoku w:val="0"/>
              <w:overflowPunct w:val="0"/>
              <w:autoSpaceDE w:val="0"/>
              <w:autoSpaceDN w:val="0"/>
              <w:spacing w:line="300" w:lineRule="atLeast"/>
              <w:ind w:firstLineChars="700" w:firstLine="1498"/>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rPr>
              <w:t>（③／②）（％）</w:t>
            </w:r>
          </w:p>
        </w:tc>
        <w:tc>
          <w:tcPr>
            <w:tcW w:w="1404" w:type="dxa"/>
            <w:tcBorders>
              <w:top w:val="single" w:sz="12" w:space="0" w:color="000000"/>
              <w:left w:val="single" w:sz="4" w:space="0" w:color="000000"/>
              <w:bottom w:val="single" w:sz="12" w:space="0" w:color="000000"/>
              <w:right w:val="single" w:sz="4" w:space="0" w:color="000000"/>
            </w:tcBorders>
          </w:tcPr>
          <w:p w14:paraId="74A2693D"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15AC46E5"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p w14:paraId="6298E93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3" w:type="dxa"/>
            <w:tcBorders>
              <w:top w:val="single" w:sz="12" w:space="0" w:color="000000"/>
              <w:left w:val="single" w:sz="4" w:space="0" w:color="000000"/>
              <w:bottom w:val="single" w:sz="12" w:space="0" w:color="000000"/>
              <w:right w:val="single" w:sz="4" w:space="0" w:color="000000"/>
            </w:tcBorders>
          </w:tcPr>
          <w:p w14:paraId="1F38CF82"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1404" w:type="dxa"/>
            <w:tcBorders>
              <w:top w:val="single" w:sz="12" w:space="0" w:color="000000"/>
              <w:left w:val="single" w:sz="4" w:space="0" w:color="000000"/>
              <w:bottom w:val="single" w:sz="12" w:space="0" w:color="000000"/>
              <w:right w:val="single" w:sz="12" w:space="0" w:color="000000"/>
            </w:tcBorders>
          </w:tcPr>
          <w:p w14:paraId="617D7BDA"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c>
          <w:tcPr>
            <w:tcW w:w="2169" w:type="dxa"/>
            <w:tcBorders>
              <w:top w:val="single" w:sz="12" w:space="0" w:color="000000"/>
              <w:left w:val="single" w:sz="12" w:space="0" w:color="000000"/>
              <w:bottom w:val="single" w:sz="12" w:space="0" w:color="000000"/>
              <w:right w:val="single" w:sz="12" w:space="0" w:color="000000"/>
            </w:tcBorders>
          </w:tcPr>
          <w:p w14:paraId="26053AEE" w14:textId="77777777" w:rsidR="00D50E43" w:rsidRPr="00056C36" w:rsidRDefault="00D50E43" w:rsidP="003E4C78">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p>
        </w:tc>
      </w:tr>
    </w:tbl>
    <w:p w14:paraId="285A1AE2" w14:textId="3EF2CF7C" w:rsidR="00A7262B" w:rsidRDefault="00A7262B" w:rsidP="00D50E43">
      <w:pPr>
        <w:adjustRightInd/>
        <w:rPr>
          <w:rFonts w:asciiTheme="majorEastAsia" w:eastAsiaTheme="majorEastAsia" w:hAnsiTheme="majorEastAsia" w:cs="Times New Roman"/>
          <w:color w:val="000000" w:themeColor="text1"/>
          <w:spacing w:val="6"/>
        </w:rPr>
      </w:pPr>
      <w:r>
        <w:rPr>
          <w:rFonts w:asciiTheme="majorEastAsia" w:eastAsiaTheme="majorEastAsia" w:hAnsiTheme="majorEastAsia" w:cs="Times New Roman"/>
          <w:color w:val="000000" w:themeColor="text1"/>
          <w:spacing w:val="6"/>
        </w:rPr>
        <w:br w:type="page"/>
      </w:r>
    </w:p>
    <w:p w14:paraId="5F64096B" w14:textId="1054F6AA" w:rsidR="00483284" w:rsidRPr="00056C36" w:rsidRDefault="002B0004" w:rsidP="00056C36">
      <w:pPr>
        <w:adjustRightInd/>
        <w:ind w:firstLineChars="100" w:firstLine="226"/>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lastRenderedPageBreak/>
        <w:t>以下は、新指標</w:t>
      </w:r>
      <w:r w:rsidR="00392BBC" w:rsidRPr="00056C36">
        <w:rPr>
          <w:rFonts w:asciiTheme="majorEastAsia" w:eastAsiaTheme="majorEastAsia" w:hAnsiTheme="majorEastAsia" w:cs="Times New Roman" w:hint="eastAsia"/>
          <w:color w:val="000000" w:themeColor="text1"/>
          <w:spacing w:val="6"/>
        </w:rPr>
        <w:t>の割合が</w:t>
      </w:r>
      <w:r w:rsidR="001F2570">
        <w:rPr>
          <w:rFonts w:asciiTheme="majorEastAsia" w:eastAsiaTheme="majorEastAsia" w:hAnsiTheme="majorEastAsia" w:cs="Times New Roman"/>
          <w:color w:val="000000" w:themeColor="text1"/>
          <w:spacing w:val="6"/>
        </w:rPr>
        <w:t>50</w:t>
      </w:r>
      <w:r w:rsidRPr="00056C36">
        <w:rPr>
          <w:rFonts w:asciiTheme="majorEastAsia" w:eastAsiaTheme="majorEastAsia" w:hAnsiTheme="majorEastAsia" w:cs="Times New Roman" w:hint="eastAsia"/>
          <w:color w:val="000000" w:themeColor="text1"/>
          <w:spacing w:val="6"/>
        </w:rPr>
        <w:t>％</w:t>
      </w:r>
      <w:r w:rsidR="00EE6614" w:rsidRPr="00056C36">
        <w:rPr>
          <w:rFonts w:asciiTheme="majorEastAsia" w:eastAsiaTheme="majorEastAsia" w:hAnsiTheme="majorEastAsia" w:cs="Times New Roman" w:hint="eastAsia"/>
          <w:color w:val="000000" w:themeColor="text1"/>
          <w:spacing w:val="6"/>
        </w:rPr>
        <w:t>以下</w:t>
      </w:r>
      <w:r w:rsidRPr="00056C36">
        <w:rPr>
          <w:rFonts w:asciiTheme="majorEastAsia" w:eastAsiaTheme="majorEastAsia" w:hAnsiTheme="majorEastAsia" w:cs="Times New Roman" w:hint="eastAsia"/>
          <w:color w:val="000000" w:themeColor="text1"/>
          <w:spacing w:val="6"/>
        </w:rPr>
        <w:t>で、「</w:t>
      </w:r>
      <w:r w:rsidR="00F503E7" w:rsidRPr="00056C36">
        <w:rPr>
          <w:rFonts w:asciiTheme="majorEastAsia" w:eastAsiaTheme="majorEastAsia" w:hAnsiTheme="majorEastAsia" w:cs="Times New Roman" w:hint="eastAsia"/>
          <w:color w:val="000000" w:themeColor="text1"/>
          <w:spacing w:val="6"/>
        </w:rPr>
        <w:t>処方箋の受付状況</w:t>
      </w:r>
      <w:r w:rsidR="00EE6614" w:rsidRPr="00056C36">
        <w:rPr>
          <w:rFonts w:asciiTheme="majorEastAsia" w:eastAsiaTheme="majorEastAsia" w:hAnsiTheme="majorEastAsia" w:cs="Times New Roman" w:hint="eastAsia"/>
          <w:color w:val="000000" w:themeColor="text1"/>
          <w:spacing w:val="6"/>
        </w:rPr>
        <w:t>を踏まえ</w:t>
      </w:r>
      <w:r w:rsidR="00F503E7" w:rsidRPr="00056C36">
        <w:rPr>
          <w:rFonts w:asciiTheme="majorEastAsia" w:eastAsiaTheme="majorEastAsia" w:hAnsiTheme="majorEastAsia" w:cs="Times New Roman" w:hint="eastAsia"/>
          <w:color w:val="000000" w:themeColor="text1"/>
          <w:spacing w:val="6"/>
        </w:rPr>
        <w:t>やむを得ない</w:t>
      </w:r>
      <w:r w:rsidR="00F0379F" w:rsidRPr="00056C36">
        <w:rPr>
          <w:rFonts w:asciiTheme="majorEastAsia" w:eastAsiaTheme="majorEastAsia" w:hAnsiTheme="majorEastAsia" w:cs="Times New Roman" w:hint="eastAsia"/>
          <w:color w:val="000000" w:themeColor="text1"/>
          <w:spacing w:val="6"/>
        </w:rPr>
        <w:t>もの</w:t>
      </w:r>
      <w:r w:rsidRPr="00056C36">
        <w:rPr>
          <w:rFonts w:asciiTheme="majorEastAsia" w:eastAsiaTheme="majorEastAsia" w:hAnsiTheme="majorEastAsia" w:cs="Times New Roman" w:hint="eastAsia"/>
          <w:color w:val="000000" w:themeColor="text1"/>
          <w:spacing w:val="6"/>
        </w:rPr>
        <w:t>」</w:t>
      </w:r>
      <w:r w:rsidR="00F503E7" w:rsidRPr="00056C36">
        <w:rPr>
          <w:rFonts w:asciiTheme="majorEastAsia" w:eastAsiaTheme="majorEastAsia" w:hAnsiTheme="majorEastAsia" w:cs="Times New Roman" w:hint="eastAsia"/>
          <w:color w:val="000000" w:themeColor="text1"/>
          <w:spacing w:val="6"/>
        </w:rPr>
        <w:t>に該当する</w:t>
      </w:r>
      <w:r w:rsidRPr="00056C36">
        <w:rPr>
          <w:rFonts w:asciiTheme="majorEastAsia" w:eastAsiaTheme="majorEastAsia" w:hAnsiTheme="majorEastAsia" w:cs="Times New Roman" w:hint="eastAsia"/>
          <w:color w:val="000000" w:themeColor="text1"/>
          <w:spacing w:val="6"/>
        </w:rPr>
        <w:t>場合のみ記載する。</w:t>
      </w:r>
      <w:r w:rsidR="00392BBC" w:rsidRPr="00056C36">
        <w:rPr>
          <w:rFonts w:asciiTheme="majorEastAsia" w:eastAsiaTheme="majorEastAsia" w:hAnsiTheme="majorEastAsia" w:cs="Times New Roman" w:hint="eastAsia"/>
          <w:color w:val="000000" w:themeColor="text1"/>
          <w:spacing w:val="6"/>
        </w:rPr>
        <w:t>なお、</w:t>
      </w:r>
      <w:r w:rsidR="00F0379F" w:rsidRPr="00056C36">
        <w:rPr>
          <w:rFonts w:asciiTheme="majorEastAsia" w:eastAsiaTheme="majorEastAsia" w:hAnsiTheme="majorEastAsia" w:cs="Times New Roman" w:hint="eastAsia"/>
          <w:color w:val="000000" w:themeColor="text1"/>
          <w:spacing w:val="6"/>
        </w:rPr>
        <w:t>下記に基づき算出した割合</w:t>
      </w:r>
      <w:r w:rsidR="006602F3" w:rsidRPr="00056C36">
        <w:rPr>
          <w:rFonts w:asciiTheme="majorEastAsia" w:eastAsiaTheme="majorEastAsia" w:hAnsiTheme="majorEastAsia" w:cs="Times New Roman" w:hint="eastAsia"/>
          <w:color w:val="000000" w:themeColor="text1"/>
          <w:spacing w:val="6"/>
        </w:rPr>
        <w:t>（小数点以下四捨五入）</w:t>
      </w:r>
      <w:r w:rsidR="00F0379F" w:rsidRPr="00056C36">
        <w:rPr>
          <w:rFonts w:asciiTheme="majorEastAsia" w:eastAsiaTheme="majorEastAsia" w:hAnsiTheme="majorEastAsia" w:cs="Times New Roman" w:hint="eastAsia"/>
          <w:color w:val="000000" w:themeColor="text1"/>
          <w:spacing w:val="6"/>
        </w:rPr>
        <w:t>が50％以上である場合が該当するものである。</w:t>
      </w:r>
    </w:p>
    <w:p w14:paraId="38F5EA4E" w14:textId="77777777" w:rsidR="002B0004" w:rsidRPr="00056C36" w:rsidRDefault="002B0004" w:rsidP="002B0004">
      <w:pPr>
        <w:adjustRightInd/>
        <w:rPr>
          <w:rFonts w:asciiTheme="majorEastAsia" w:eastAsiaTheme="majorEastAsia" w:hAnsiTheme="majorEastAsia" w:cs="Times New Roman"/>
          <w:color w:val="000000" w:themeColor="text1"/>
          <w:spacing w:val="6"/>
        </w:rPr>
      </w:pPr>
    </w:p>
    <w:tbl>
      <w:tblPr>
        <w:tblW w:w="972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02"/>
        <w:gridCol w:w="2126"/>
      </w:tblGrid>
      <w:tr w:rsidR="00CE0058" w:rsidRPr="00056C36" w14:paraId="6737A1F6" w14:textId="77777777" w:rsidTr="007C3AF1">
        <w:trPr>
          <w:trHeight w:val="595"/>
        </w:trPr>
        <w:tc>
          <w:tcPr>
            <w:tcW w:w="9728" w:type="dxa"/>
            <w:gridSpan w:val="2"/>
            <w:tcBorders>
              <w:top w:val="single" w:sz="12" w:space="0" w:color="000000"/>
              <w:left w:val="single" w:sz="12" w:space="0" w:color="000000"/>
              <w:bottom w:val="single" w:sz="6" w:space="0" w:color="auto"/>
              <w:right w:val="single" w:sz="12" w:space="0" w:color="000000"/>
            </w:tcBorders>
            <w:shd w:val="clear" w:color="auto" w:fill="auto"/>
            <w:vAlign w:val="center"/>
          </w:tcPr>
          <w:p w14:paraId="6AFF8253" w14:textId="17639C22" w:rsidR="00CE0058" w:rsidRPr="00056C36" w:rsidRDefault="00CE0058" w:rsidP="00B81613">
            <w:pPr>
              <w:kinsoku w:val="0"/>
              <w:overflowPunct w:val="0"/>
              <w:autoSpaceDE w:val="0"/>
              <w:autoSpaceDN w:val="0"/>
              <w:spacing w:line="300" w:lineRule="atLeast"/>
              <w:jc w:val="both"/>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判</w:t>
            </w:r>
            <w:r w:rsidR="00B81613" w:rsidRPr="00056C36">
              <w:rPr>
                <w:rFonts w:asciiTheme="majorEastAsia" w:eastAsiaTheme="majorEastAsia" w:hAnsiTheme="majorEastAsia" w:cs="Times New Roman" w:hint="eastAsia"/>
                <w:color w:val="000000" w:themeColor="text1"/>
                <w:spacing w:val="6"/>
              </w:rPr>
              <w:t>定</w:t>
            </w:r>
            <w:r w:rsidRPr="00056C36">
              <w:rPr>
                <w:rFonts w:asciiTheme="majorEastAsia" w:eastAsiaTheme="majorEastAsia" w:hAnsiTheme="majorEastAsia" w:cs="Times New Roman" w:hint="eastAsia"/>
                <w:color w:val="000000" w:themeColor="text1"/>
                <w:spacing w:val="6"/>
              </w:rPr>
              <w:t>に用いた年月：　　年　　　月</w:t>
            </w:r>
          </w:p>
        </w:tc>
      </w:tr>
      <w:tr w:rsidR="00215ECD" w:rsidRPr="00056C36" w14:paraId="1232D0EC" w14:textId="77777777" w:rsidTr="007C3AF1">
        <w:trPr>
          <w:trHeight w:val="495"/>
        </w:trPr>
        <w:tc>
          <w:tcPr>
            <w:tcW w:w="7602" w:type="dxa"/>
            <w:tcBorders>
              <w:top w:val="single" w:sz="6" w:space="0" w:color="auto"/>
              <w:left w:val="single" w:sz="12" w:space="0" w:color="000000"/>
              <w:bottom w:val="single" w:sz="4" w:space="0" w:color="auto"/>
              <w:right w:val="single" w:sz="4" w:space="0" w:color="000000"/>
            </w:tcBorders>
            <w:shd w:val="clear" w:color="auto" w:fill="auto"/>
            <w:vAlign w:val="center"/>
          </w:tcPr>
          <w:p w14:paraId="3D57BEE7" w14:textId="60391869" w:rsidR="00215ECD" w:rsidRPr="00056C36" w:rsidRDefault="00215ECD" w:rsidP="00E10B44">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直近</w:t>
            </w:r>
            <w:r w:rsidR="00E10B44" w:rsidRPr="00056C36">
              <w:rPr>
                <w:rFonts w:asciiTheme="majorEastAsia" w:eastAsiaTheme="majorEastAsia" w:hAnsiTheme="majorEastAsia" w:cs="Times New Roman" w:hint="eastAsia"/>
                <w:color w:val="000000" w:themeColor="text1"/>
                <w:spacing w:val="6"/>
              </w:rPr>
              <w:t>１か月間</w:t>
            </w:r>
            <w:r w:rsidRPr="00056C36">
              <w:rPr>
                <w:rFonts w:asciiTheme="majorEastAsia" w:eastAsiaTheme="majorEastAsia" w:hAnsiTheme="majorEastAsia" w:cs="Times New Roman" w:hint="eastAsia"/>
                <w:color w:val="000000" w:themeColor="text1"/>
                <w:spacing w:val="6"/>
              </w:rPr>
              <w:t>における処方箋受付回数（①）</w:t>
            </w:r>
          </w:p>
        </w:tc>
        <w:tc>
          <w:tcPr>
            <w:tcW w:w="2126" w:type="dxa"/>
            <w:tcBorders>
              <w:top w:val="single" w:sz="6" w:space="0" w:color="auto"/>
              <w:left w:val="single" w:sz="12" w:space="0" w:color="000000"/>
              <w:bottom w:val="single" w:sz="4" w:space="0" w:color="auto"/>
              <w:right w:val="single" w:sz="12" w:space="0" w:color="000000"/>
            </w:tcBorders>
            <w:vAlign w:val="bottom"/>
          </w:tcPr>
          <w:p w14:paraId="5BE10568" w14:textId="77777777" w:rsidR="00215ECD" w:rsidRPr="00056C36" w:rsidRDefault="00215ECD"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p>
          <w:p w14:paraId="32A8D652" w14:textId="67C8C625" w:rsidR="00215ECD" w:rsidRPr="00056C36" w:rsidRDefault="00CE0058"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 xml:space="preserve">　　　　　　　回</w:t>
            </w:r>
          </w:p>
        </w:tc>
      </w:tr>
      <w:tr w:rsidR="00215ECD" w:rsidRPr="00056C36" w14:paraId="48915CEF" w14:textId="77777777" w:rsidTr="007C3AF1">
        <w:trPr>
          <w:trHeight w:val="544"/>
        </w:trPr>
        <w:tc>
          <w:tcPr>
            <w:tcW w:w="7602" w:type="dxa"/>
            <w:tcBorders>
              <w:top w:val="single" w:sz="4" w:space="0" w:color="auto"/>
              <w:left w:val="single" w:sz="12" w:space="0" w:color="000000"/>
              <w:bottom w:val="single" w:sz="4" w:space="0" w:color="auto"/>
              <w:right w:val="single" w:sz="4" w:space="0" w:color="000000"/>
            </w:tcBorders>
            <w:shd w:val="clear" w:color="auto" w:fill="auto"/>
            <w:vAlign w:val="center"/>
          </w:tcPr>
          <w:p w14:paraId="32229DF1" w14:textId="096A4F09" w:rsidR="00215ECD" w:rsidRPr="00056C36" w:rsidRDefault="00215ECD" w:rsidP="00215ECD">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直近１</w:t>
            </w:r>
            <w:r w:rsidR="00E10B44" w:rsidRPr="00056C36">
              <w:rPr>
                <w:rFonts w:asciiTheme="majorEastAsia" w:eastAsiaTheme="majorEastAsia" w:hAnsiTheme="majorEastAsia" w:cs="Times New Roman" w:hint="eastAsia"/>
                <w:color w:val="000000" w:themeColor="text1"/>
                <w:spacing w:val="6"/>
              </w:rPr>
              <w:t>か</w:t>
            </w:r>
            <w:r w:rsidRPr="00056C36">
              <w:rPr>
                <w:rFonts w:asciiTheme="majorEastAsia" w:eastAsiaTheme="majorEastAsia" w:hAnsiTheme="majorEastAsia" w:cs="Times New Roman" w:hint="eastAsia"/>
                <w:color w:val="000000" w:themeColor="text1"/>
                <w:spacing w:val="6"/>
              </w:rPr>
              <w:t>月間における先発品変更不可のある処方箋の受付回数（②）</w:t>
            </w:r>
          </w:p>
        </w:tc>
        <w:tc>
          <w:tcPr>
            <w:tcW w:w="2126" w:type="dxa"/>
            <w:tcBorders>
              <w:top w:val="single" w:sz="4" w:space="0" w:color="auto"/>
              <w:left w:val="single" w:sz="12" w:space="0" w:color="000000"/>
              <w:bottom w:val="single" w:sz="4" w:space="0" w:color="auto"/>
              <w:right w:val="single" w:sz="12" w:space="0" w:color="000000"/>
            </w:tcBorders>
            <w:vAlign w:val="bottom"/>
          </w:tcPr>
          <w:p w14:paraId="4A981CB0" w14:textId="22A2CBE5" w:rsidR="00215ECD" w:rsidRPr="00056C36" w:rsidRDefault="00CE0058"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 xml:space="preserve">　　　　回</w:t>
            </w:r>
          </w:p>
        </w:tc>
      </w:tr>
      <w:tr w:rsidR="00215ECD" w:rsidRPr="00056C36" w14:paraId="46A680A7" w14:textId="77777777" w:rsidTr="007C3AF1">
        <w:trPr>
          <w:trHeight w:val="518"/>
        </w:trPr>
        <w:tc>
          <w:tcPr>
            <w:tcW w:w="7602" w:type="dxa"/>
            <w:tcBorders>
              <w:top w:val="single" w:sz="4" w:space="0" w:color="auto"/>
              <w:left w:val="single" w:sz="12" w:space="0" w:color="000000"/>
              <w:bottom w:val="single" w:sz="12" w:space="0" w:color="auto"/>
              <w:right w:val="single" w:sz="4" w:space="0" w:color="000000"/>
            </w:tcBorders>
            <w:shd w:val="clear" w:color="auto" w:fill="auto"/>
            <w:vAlign w:val="center"/>
          </w:tcPr>
          <w:p w14:paraId="027557B2" w14:textId="5A66204F" w:rsidR="00215ECD" w:rsidRPr="00056C36" w:rsidRDefault="00215ECD" w:rsidP="00215ECD">
            <w:pPr>
              <w:kinsoku w:val="0"/>
              <w:overflowPunct w:val="0"/>
              <w:autoSpaceDE w:val="0"/>
              <w:autoSpaceDN w:val="0"/>
              <w:spacing w:line="300" w:lineRule="atLeas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割合（②／①）（％）</w:t>
            </w:r>
          </w:p>
        </w:tc>
        <w:tc>
          <w:tcPr>
            <w:tcW w:w="2126" w:type="dxa"/>
            <w:tcBorders>
              <w:top w:val="single" w:sz="4" w:space="0" w:color="auto"/>
              <w:left w:val="single" w:sz="12" w:space="0" w:color="000000"/>
              <w:bottom w:val="single" w:sz="12" w:space="0" w:color="auto"/>
              <w:right w:val="single" w:sz="12" w:space="0" w:color="000000"/>
            </w:tcBorders>
            <w:vAlign w:val="bottom"/>
          </w:tcPr>
          <w:p w14:paraId="2A18479A" w14:textId="77777777" w:rsidR="00215ECD" w:rsidRPr="00056C36" w:rsidRDefault="00215ECD" w:rsidP="00CE0058">
            <w:pPr>
              <w:kinsoku w:val="0"/>
              <w:overflowPunct w:val="0"/>
              <w:autoSpaceDE w:val="0"/>
              <w:autoSpaceDN w:val="0"/>
              <w:spacing w:line="300" w:lineRule="atLeast"/>
              <w:jc w:val="right"/>
              <w:rPr>
                <w:rFonts w:asciiTheme="majorEastAsia" w:eastAsiaTheme="majorEastAsia" w:hAnsiTheme="majorEastAsia" w:cs="Times New Roman"/>
                <w:color w:val="000000" w:themeColor="text1"/>
                <w:spacing w:val="6"/>
              </w:rPr>
            </w:pPr>
          </w:p>
          <w:p w14:paraId="6AB1EB8D" w14:textId="4E66CC68" w:rsidR="00CE0058" w:rsidRPr="00056C36" w:rsidRDefault="00FA793A" w:rsidP="00CF6AD0">
            <w:pPr>
              <w:kinsoku w:val="0"/>
              <w:overflowPunct w:val="0"/>
              <w:autoSpaceDE w:val="0"/>
              <w:autoSpaceDN w:val="0"/>
              <w:spacing w:line="300" w:lineRule="atLeast"/>
              <w:ind w:firstLineChars="700" w:firstLine="1582"/>
              <w:jc w:val="right"/>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Times New Roman" w:hint="eastAsia"/>
                <w:color w:val="000000" w:themeColor="text1"/>
                <w:spacing w:val="6"/>
              </w:rPr>
              <w:t>％</w:t>
            </w:r>
          </w:p>
        </w:tc>
      </w:tr>
    </w:tbl>
    <w:p w14:paraId="23C61A6F" w14:textId="77777777" w:rsidR="00D50E43" w:rsidRPr="00056C36" w:rsidRDefault="00D50E43" w:rsidP="00D50E43">
      <w:pPr>
        <w:adjustRightInd/>
        <w:rPr>
          <w:rFonts w:asciiTheme="majorEastAsia" w:eastAsiaTheme="majorEastAsia" w:hAnsiTheme="majorEastAsia" w:cs="Times New Roman"/>
          <w:color w:val="000000" w:themeColor="text1"/>
          <w:spacing w:val="6"/>
        </w:rPr>
      </w:pPr>
    </w:p>
    <w:p w14:paraId="6D56FC3E" w14:textId="77777777" w:rsidR="00483284" w:rsidRPr="00056C36" w:rsidRDefault="00483284" w:rsidP="00D50E43">
      <w:pPr>
        <w:adjustRightInd/>
        <w:rPr>
          <w:rFonts w:asciiTheme="majorEastAsia" w:eastAsiaTheme="majorEastAsia" w:hAnsiTheme="majorEastAsia" w:cs="Times New Roman"/>
          <w:color w:val="000000" w:themeColor="text1"/>
          <w:spacing w:val="6"/>
        </w:rPr>
      </w:pPr>
    </w:p>
    <w:p w14:paraId="01F0CEFF" w14:textId="1270FFD9" w:rsidR="00D50E43" w:rsidRPr="00056C36" w:rsidRDefault="00D50E43" w:rsidP="007C3AF1">
      <w:pPr>
        <w:adjustRightInd/>
        <w:spacing w:line="360" w:lineRule="exact"/>
        <w:ind w:firstLineChars="50" w:firstLine="109"/>
        <w:rPr>
          <w:rFonts w:asciiTheme="majorEastAsia" w:eastAsiaTheme="majorEastAsia" w:hAnsiTheme="majorEastAsia" w:cs="Times New Roman"/>
          <w:color w:val="000000" w:themeColor="text1"/>
          <w:spacing w:val="6"/>
        </w:rPr>
      </w:pPr>
      <w:r w:rsidRPr="00056C36">
        <w:rPr>
          <w:rFonts w:asciiTheme="majorEastAsia" w:eastAsiaTheme="majorEastAsia" w:hAnsiTheme="majorEastAsia" w:cs="ＭＳ ゴシック" w:hint="eastAsia"/>
          <w:color w:val="000000" w:themeColor="text1"/>
          <w:spacing w:val="2"/>
        </w:rPr>
        <w:t>［記載上の注意］</w:t>
      </w:r>
    </w:p>
    <w:p w14:paraId="0CBE7B57" w14:textId="66E7153C" w:rsidR="00D50E43" w:rsidRPr="00056C36" w:rsidRDefault="00D50E43" w:rsidP="00BF4C6B">
      <w:pPr>
        <w:adjustRightInd/>
        <w:spacing w:line="360" w:lineRule="exact"/>
        <w:ind w:leftChars="200" w:left="646" w:hangingChars="100" w:hanging="218"/>
        <w:jc w:val="both"/>
        <w:rPr>
          <w:rFonts w:asciiTheme="majorEastAsia" w:eastAsiaTheme="majorEastAsia" w:hAnsiTheme="majorEastAsia" w:cs="ＭＳ ゴシック"/>
          <w:color w:val="000000" w:themeColor="text1"/>
          <w:spacing w:val="2"/>
        </w:rPr>
      </w:pPr>
      <w:r w:rsidRPr="00056C36">
        <w:rPr>
          <w:rFonts w:asciiTheme="majorEastAsia" w:eastAsiaTheme="majorEastAsia" w:hAnsiTheme="majorEastAsia" w:cs="ＭＳ ゴシック" w:hint="eastAsia"/>
          <w:color w:val="000000" w:themeColor="text1"/>
          <w:spacing w:val="2"/>
        </w:rPr>
        <w:t>１　規格単位数量とは、使用薬剤の薬価（薬価基準）別表に規定する規格単位ごとに数えた数量のことをいう。</w:t>
      </w:r>
    </w:p>
    <w:p w14:paraId="3B1F8D3F" w14:textId="625A7A26" w:rsidR="00D50E43" w:rsidRPr="00056C36" w:rsidRDefault="00D50E43" w:rsidP="00BF4C6B">
      <w:pPr>
        <w:adjustRightInd/>
        <w:spacing w:line="360" w:lineRule="exact"/>
        <w:ind w:leftChars="200" w:left="646" w:hangingChars="100" w:hanging="218"/>
        <w:jc w:val="both"/>
        <w:rPr>
          <w:rFonts w:asciiTheme="majorEastAsia" w:eastAsiaTheme="majorEastAsia" w:hAnsiTheme="majorEastAsia" w:cs="ＭＳ ゴシック"/>
          <w:color w:val="000000" w:themeColor="text1"/>
          <w:spacing w:val="2"/>
        </w:rPr>
      </w:pPr>
      <w:r w:rsidRPr="00056C36">
        <w:rPr>
          <w:rFonts w:asciiTheme="majorEastAsia" w:eastAsiaTheme="majorEastAsia" w:hAnsiTheme="majorEastAsia" w:cs="ＭＳ ゴシック" w:hint="eastAsia"/>
          <w:color w:val="000000" w:themeColor="text1"/>
          <w:spacing w:val="2"/>
        </w:rPr>
        <w:t>２　後発医薬品の規格単位数量の割合を計算するに当たっては、「「診療報</w:t>
      </w:r>
      <w:r w:rsidR="00743456" w:rsidRPr="00056C36">
        <w:rPr>
          <w:rFonts w:asciiTheme="majorEastAsia" w:eastAsiaTheme="majorEastAsia" w:hAnsiTheme="majorEastAsia" w:cs="ＭＳ ゴシック" w:hint="eastAsia"/>
          <w:color w:val="000000" w:themeColor="text1"/>
          <w:spacing w:val="2"/>
        </w:rPr>
        <w:t>酬にお</w:t>
      </w:r>
      <w:r w:rsidR="00340B34" w:rsidRPr="00056C36">
        <w:rPr>
          <w:rFonts w:asciiTheme="majorEastAsia" w:eastAsiaTheme="majorEastAsia" w:hAnsiTheme="majorEastAsia" w:cs="ＭＳ ゴシック" w:hint="eastAsia"/>
          <w:color w:val="000000" w:themeColor="text1"/>
          <w:spacing w:val="2"/>
        </w:rPr>
        <w:t>ける</w:t>
      </w:r>
      <w:r w:rsidRPr="00056C36">
        <w:rPr>
          <w:rFonts w:asciiTheme="majorEastAsia" w:eastAsiaTheme="majorEastAsia" w:hAnsiTheme="majorEastAsia" w:cs="ＭＳ ゴシック" w:hint="eastAsia"/>
          <w:color w:val="000000" w:themeColor="text1"/>
          <w:spacing w:val="2"/>
        </w:rPr>
        <w:t>加算等の算定対象となる後発医薬品」</w:t>
      </w:r>
      <w:r w:rsidR="00340B34" w:rsidRPr="00056C36">
        <w:rPr>
          <w:rFonts w:asciiTheme="majorEastAsia" w:eastAsiaTheme="majorEastAsia" w:hAnsiTheme="majorEastAsia" w:cs="ＭＳ ゴシック" w:hint="eastAsia"/>
          <w:color w:val="000000" w:themeColor="text1"/>
          <w:spacing w:val="2"/>
        </w:rPr>
        <w:t>等</w:t>
      </w:r>
      <w:r w:rsidRPr="00056C36">
        <w:rPr>
          <w:rFonts w:asciiTheme="majorEastAsia" w:eastAsiaTheme="majorEastAsia" w:hAnsiTheme="majorEastAsia" w:cs="ＭＳ ゴシック" w:hint="eastAsia"/>
          <w:color w:val="000000" w:themeColor="text1"/>
          <w:spacing w:val="2"/>
        </w:rPr>
        <w:t>について」（</w:t>
      </w:r>
      <w:r w:rsidR="0040292C">
        <w:rPr>
          <w:rFonts w:asciiTheme="majorEastAsia" w:eastAsiaTheme="majorEastAsia" w:hAnsiTheme="majorEastAsia" w:cs="ＭＳ ゴシック" w:hint="eastAsia"/>
          <w:color w:val="000000" w:themeColor="text1"/>
          <w:spacing w:val="2"/>
        </w:rPr>
        <w:t>令和</w:t>
      </w:r>
      <w:r w:rsidR="003E6F1F">
        <w:rPr>
          <w:rFonts w:asciiTheme="majorEastAsia" w:eastAsiaTheme="majorEastAsia" w:hAnsiTheme="majorEastAsia" w:cs="ＭＳ ゴシック" w:hint="eastAsia"/>
          <w:color w:val="000000" w:themeColor="text1"/>
          <w:spacing w:val="2"/>
        </w:rPr>
        <w:t>６</w:t>
      </w:r>
      <w:r w:rsidRPr="00056C36">
        <w:rPr>
          <w:rFonts w:asciiTheme="majorEastAsia" w:eastAsiaTheme="majorEastAsia" w:hAnsiTheme="majorEastAsia" w:cs="ＭＳ ゴシック"/>
          <w:color w:val="000000" w:themeColor="text1"/>
          <w:spacing w:val="2"/>
        </w:rPr>
        <w:t>年</w:t>
      </w:r>
      <w:r w:rsidR="009B698B" w:rsidRPr="00056C36">
        <w:rPr>
          <w:rFonts w:asciiTheme="majorEastAsia" w:eastAsiaTheme="majorEastAsia" w:hAnsiTheme="majorEastAsia" w:cs="ＭＳ ゴシック" w:hint="eastAsia"/>
          <w:color w:val="000000" w:themeColor="text1"/>
          <w:spacing w:val="2"/>
        </w:rPr>
        <w:t>３</w:t>
      </w:r>
      <w:r w:rsidRPr="00056C36">
        <w:rPr>
          <w:rFonts w:asciiTheme="majorEastAsia" w:eastAsiaTheme="majorEastAsia" w:hAnsiTheme="majorEastAsia" w:cs="ＭＳ ゴシック"/>
          <w:color w:val="000000" w:themeColor="text1"/>
          <w:spacing w:val="2"/>
        </w:rPr>
        <w:t>月</w:t>
      </w:r>
      <w:r w:rsidR="00DE51EA">
        <w:rPr>
          <w:rFonts w:asciiTheme="majorEastAsia" w:eastAsiaTheme="majorEastAsia" w:hAnsiTheme="majorEastAsia" w:cs="ＭＳ ゴシック" w:hint="eastAsia"/>
          <w:color w:val="000000" w:themeColor="text1"/>
          <w:spacing w:val="2"/>
        </w:rPr>
        <w:t>５</w:t>
      </w:r>
      <w:r w:rsidR="006602F3" w:rsidRPr="00056C36">
        <w:rPr>
          <w:rFonts w:asciiTheme="majorEastAsia" w:eastAsiaTheme="majorEastAsia" w:hAnsiTheme="majorEastAsia" w:cs="ＭＳ ゴシック"/>
          <w:color w:val="000000" w:themeColor="text1"/>
          <w:spacing w:val="2"/>
        </w:rPr>
        <w:t>日</w:t>
      </w:r>
      <w:r w:rsidRPr="00056C36">
        <w:rPr>
          <w:rFonts w:asciiTheme="majorEastAsia" w:eastAsiaTheme="majorEastAsia" w:hAnsiTheme="majorEastAsia" w:cs="ＭＳ ゴシック"/>
          <w:color w:val="000000" w:themeColor="text1"/>
          <w:spacing w:val="2"/>
        </w:rPr>
        <w:t>保医発</w:t>
      </w:r>
      <w:r w:rsidR="00DE51EA">
        <w:rPr>
          <w:rFonts w:asciiTheme="majorEastAsia" w:eastAsiaTheme="majorEastAsia" w:hAnsiTheme="majorEastAsia" w:cs="ＭＳ ゴシック" w:hint="eastAsia"/>
          <w:color w:val="000000" w:themeColor="text1"/>
          <w:spacing w:val="2"/>
        </w:rPr>
        <w:t>0</w:t>
      </w:r>
      <w:r w:rsidR="00DE51EA">
        <w:rPr>
          <w:rFonts w:asciiTheme="majorEastAsia" w:eastAsiaTheme="majorEastAsia" w:hAnsiTheme="majorEastAsia" w:cs="ＭＳ ゴシック"/>
          <w:color w:val="000000" w:themeColor="text1"/>
          <w:spacing w:val="2"/>
        </w:rPr>
        <w:t>305</w:t>
      </w:r>
      <w:r w:rsidRPr="00056C36">
        <w:rPr>
          <w:rFonts w:asciiTheme="majorEastAsia" w:eastAsiaTheme="majorEastAsia" w:hAnsiTheme="majorEastAsia" w:cs="ＭＳ ゴシック"/>
          <w:color w:val="000000" w:themeColor="text1"/>
          <w:spacing w:val="2"/>
        </w:rPr>
        <w:t>第</w:t>
      </w:r>
      <w:r w:rsidR="00DE51EA">
        <w:rPr>
          <w:rFonts w:asciiTheme="majorEastAsia" w:eastAsiaTheme="majorEastAsia" w:hAnsiTheme="majorEastAsia" w:cs="ＭＳ ゴシック" w:hint="eastAsia"/>
          <w:color w:val="000000" w:themeColor="text1"/>
          <w:spacing w:val="2"/>
        </w:rPr>
        <w:t>２</w:t>
      </w:r>
      <w:r w:rsidRPr="00056C36">
        <w:rPr>
          <w:rFonts w:asciiTheme="majorEastAsia" w:eastAsiaTheme="majorEastAsia" w:hAnsiTheme="majorEastAsia" w:cs="ＭＳ ゴシック"/>
          <w:color w:val="000000" w:themeColor="text1"/>
          <w:spacing w:val="2"/>
        </w:rPr>
        <w:t>号）</w:t>
      </w:r>
      <w:r w:rsidRPr="00056C36">
        <w:rPr>
          <w:rFonts w:asciiTheme="majorEastAsia" w:eastAsiaTheme="majorEastAsia" w:hAnsiTheme="majorEastAsia" w:cs="ＭＳ ゴシック" w:hint="eastAsia"/>
          <w:color w:val="000000" w:themeColor="text1"/>
          <w:spacing w:val="2"/>
        </w:rPr>
        <w:t>を参照すること。</w:t>
      </w:r>
    </w:p>
    <w:p w14:paraId="4866DB66" w14:textId="3B9DD371" w:rsidR="009309EE" w:rsidRPr="00866364" w:rsidRDefault="00C449BD" w:rsidP="00BF4C6B">
      <w:pPr>
        <w:adjustRightInd/>
        <w:spacing w:line="360" w:lineRule="exact"/>
        <w:ind w:leftChars="200" w:left="646" w:hangingChars="100" w:hanging="218"/>
        <w:jc w:val="both"/>
        <w:rPr>
          <w:rFonts w:asciiTheme="majorEastAsia" w:eastAsiaTheme="majorEastAsia" w:hAnsiTheme="majorEastAsia" w:cs="ＭＳ ゴシック"/>
          <w:color w:val="000000" w:themeColor="text1"/>
          <w:spacing w:val="2"/>
          <w:sz w:val="24"/>
          <w:szCs w:val="24"/>
        </w:rPr>
      </w:pPr>
      <w:r w:rsidRPr="00056C36">
        <w:rPr>
          <w:rFonts w:asciiTheme="majorEastAsia" w:eastAsiaTheme="majorEastAsia" w:hAnsiTheme="majorEastAsia" w:cs="ＭＳ ゴシック" w:hint="eastAsia"/>
          <w:color w:val="000000" w:themeColor="text1"/>
          <w:spacing w:val="2"/>
        </w:rPr>
        <w:t xml:space="preserve">３　</w:t>
      </w:r>
      <w:r w:rsidR="00392BBC" w:rsidRPr="00056C36">
        <w:rPr>
          <w:rFonts w:asciiTheme="majorEastAsia" w:eastAsiaTheme="majorEastAsia" w:hAnsiTheme="majorEastAsia" w:cs="ＭＳ ゴシック" w:hint="eastAsia"/>
          <w:color w:val="000000" w:themeColor="text1"/>
          <w:spacing w:val="2"/>
        </w:rPr>
        <w:t>「</w:t>
      </w:r>
      <w:r w:rsidRPr="00056C36">
        <w:rPr>
          <w:rFonts w:asciiTheme="majorEastAsia" w:eastAsiaTheme="majorEastAsia" w:hAnsiTheme="majorEastAsia" w:cs="ＭＳ ゴシック" w:hint="eastAsia"/>
          <w:color w:val="000000" w:themeColor="text1"/>
          <w:spacing w:val="8"/>
        </w:rPr>
        <w:t>調剤基本料の「注</w:t>
      </w:r>
      <w:r w:rsidR="001F2570">
        <w:rPr>
          <w:rFonts w:asciiTheme="majorEastAsia" w:eastAsiaTheme="majorEastAsia" w:hAnsiTheme="majorEastAsia" w:cs="ＭＳ ゴシック" w:hint="eastAsia"/>
          <w:color w:val="000000" w:themeColor="text1"/>
          <w:spacing w:val="8"/>
        </w:rPr>
        <w:t>８</w:t>
      </w:r>
      <w:r w:rsidRPr="00056C36">
        <w:rPr>
          <w:rFonts w:asciiTheme="majorEastAsia" w:eastAsiaTheme="majorEastAsia" w:hAnsiTheme="majorEastAsia" w:cs="ＭＳ ゴシック" w:hint="eastAsia"/>
          <w:color w:val="000000" w:themeColor="text1"/>
          <w:spacing w:val="8"/>
        </w:rPr>
        <w:t>」（後発医薬品調剤割合が著しく低い保険薬局）への該当性</w:t>
      </w:r>
      <w:r w:rsidR="00392BBC" w:rsidRPr="00056C36">
        <w:rPr>
          <w:rFonts w:asciiTheme="majorEastAsia" w:eastAsiaTheme="majorEastAsia" w:hAnsiTheme="majorEastAsia" w:cs="ＭＳ ゴシック" w:hint="eastAsia"/>
          <w:color w:val="000000" w:themeColor="text1"/>
          <w:spacing w:val="8"/>
        </w:rPr>
        <w:t>」</w:t>
      </w:r>
      <w:r w:rsidRPr="00056C36">
        <w:rPr>
          <w:rFonts w:asciiTheme="majorEastAsia" w:eastAsiaTheme="majorEastAsia" w:hAnsiTheme="majorEastAsia" w:cs="ＭＳ ゴシック" w:hint="eastAsia"/>
          <w:color w:val="000000" w:themeColor="text1"/>
          <w:spacing w:val="8"/>
        </w:rPr>
        <w:t>については、</w:t>
      </w:r>
      <w:r w:rsidR="006602F3" w:rsidRPr="00056C36">
        <w:rPr>
          <w:rFonts w:asciiTheme="majorEastAsia" w:eastAsiaTheme="majorEastAsia" w:hAnsiTheme="majorEastAsia" w:cs="ＭＳ ゴシック" w:hint="eastAsia"/>
          <w:color w:val="000000" w:themeColor="text1"/>
          <w:spacing w:val="8"/>
        </w:rPr>
        <w:t>処方箋受付回数が1月に600回を超える保険薬局であり、</w:t>
      </w:r>
      <w:r w:rsidRPr="00056C36">
        <w:rPr>
          <w:rFonts w:asciiTheme="majorEastAsia" w:eastAsiaTheme="majorEastAsia" w:hAnsiTheme="majorEastAsia" w:cs="ＭＳ ゴシック" w:hint="eastAsia"/>
          <w:color w:val="000000" w:themeColor="text1"/>
          <w:spacing w:val="8"/>
        </w:rPr>
        <w:t>後発医薬品調剤体制加算</w:t>
      </w:r>
      <w:r w:rsidR="00392BBC" w:rsidRPr="00056C36">
        <w:rPr>
          <w:rFonts w:asciiTheme="majorEastAsia" w:eastAsiaTheme="majorEastAsia" w:hAnsiTheme="majorEastAsia" w:cs="ＭＳ ゴシック" w:hint="eastAsia"/>
          <w:color w:val="000000" w:themeColor="text1"/>
          <w:spacing w:val="8"/>
        </w:rPr>
        <w:t>の施設基準</w:t>
      </w:r>
      <w:r w:rsidR="006602F3" w:rsidRPr="00056C36">
        <w:rPr>
          <w:rFonts w:asciiTheme="majorEastAsia" w:eastAsiaTheme="majorEastAsia" w:hAnsiTheme="majorEastAsia" w:cs="ＭＳ ゴシック" w:hint="eastAsia"/>
          <w:color w:val="000000" w:themeColor="text1"/>
          <w:spacing w:val="8"/>
        </w:rPr>
        <w:t>のいずれ</w:t>
      </w:r>
      <w:r w:rsidRPr="00056C36">
        <w:rPr>
          <w:rFonts w:asciiTheme="majorEastAsia" w:eastAsiaTheme="majorEastAsia" w:hAnsiTheme="majorEastAsia" w:cs="ＭＳ ゴシック" w:hint="eastAsia"/>
          <w:color w:val="000000" w:themeColor="text1"/>
          <w:spacing w:val="8"/>
        </w:rPr>
        <w:t>に</w:t>
      </w:r>
      <w:r w:rsidR="006602F3" w:rsidRPr="00056C36">
        <w:rPr>
          <w:rFonts w:asciiTheme="majorEastAsia" w:eastAsiaTheme="majorEastAsia" w:hAnsiTheme="majorEastAsia" w:cs="ＭＳ ゴシック" w:hint="eastAsia"/>
          <w:color w:val="000000" w:themeColor="text1"/>
          <w:spacing w:val="8"/>
        </w:rPr>
        <w:t>も</w:t>
      </w:r>
      <w:r w:rsidRPr="00056C36">
        <w:rPr>
          <w:rFonts w:asciiTheme="majorEastAsia" w:eastAsiaTheme="majorEastAsia" w:hAnsiTheme="majorEastAsia" w:cs="ＭＳ ゴシック" w:hint="eastAsia"/>
          <w:color w:val="000000" w:themeColor="text1"/>
          <w:spacing w:val="8"/>
        </w:rPr>
        <w:t>該当しない保険薬局が、調剤基本料の「注</w:t>
      </w:r>
      <w:r w:rsidR="001F2570">
        <w:rPr>
          <w:rFonts w:asciiTheme="majorEastAsia" w:eastAsiaTheme="majorEastAsia" w:hAnsiTheme="majorEastAsia" w:cs="ＭＳ ゴシック" w:hint="eastAsia"/>
          <w:color w:val="000000" w:themeColor="text1"/>
          <w:spacing w:val="8"/>
        </w:rPr>
        <w:t>８</w:t>
      </w:r>
      <w:r w:rsidRPr="00056C36">
        <w:rPr>
          <w:rFonts w:asciiTheme="majorEastAsia" w:eastAsiaTheme="majorEastAsia" w:hAnsiTheme="majorEastAsia" w:cs="ＭＳ ゴシック" w:hint="eastAsia"/>
          <w:color w:val="000000" w:themeColor="text1"/>
          <w:spacing w:val="8"/>
        </w:rPr>
        <w:t>」への該当性を地方厚生（支）局長へ報告する際に用いること。</w:t>
      </w:r>
    </w:p>
    <w:sectPr w:rsidR="009309EE" w:rsidRPr="00866364">
      <w:footnotePr>
        <w:numFmt w:val="decimalFullWidth"/>
      </w:footnotePr>
      <w:type w:val="continuous"/>
      <w:pgSz w:w="11906" w:h="16838"/>
      <w:pgMar w:top="908" w:right="1094" w:bottom="624" w:left="1094" w:header="720" w:footer="720" w:gutter="0"/>
      <w:pgNumType w:start="1"/>
      <w:cols w:space="720"/>
      <w:noEndnote/>
      <w:docGrid w:type="linesAndChars" w:linePitch="29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857D7" w14:textId="77777777" w:rsidR="00E5142A" w:rsidRDefault="00E5142A">
      <w:r>
        <w:separator/>
      </w:r>
    </w:p>
  </w:endnote>
  <w:endnote w:type="continuationSeparator" w:id="0">
    <w:p w14:paraId="3AC31FAB" w14:textId="77777777" w:rsidR="00E5142A" w:rsidRDefault="00E51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756F0" w14:textId="77777777" w:rsidR="00E5142A" w:rsidRDefault="00E5142A">
      <w:r>
        <w:rPr>
          <w:rFonts w:hAnsi="Times New Roman" w:cs="Times New Roman"/>
          <w:color w:val="auto"/>
          <w:sz w:val="2"/>
          <w:szCs w:val="2"/>
        </w:rPr>
        <w:continuationSeparator/>
      </w:r>
    </w:p>
  </w:footnote>
  <w:footnote w:type="continuationSeparator" w:id="0">
    <w:p w14:paraId="089E959E" w14:textId="77777777" w:rsidR="00E5142A" w:rsidRDefault="00E51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D0AF1"/>
    <w:multiLevelType w:val="hybridMultilevel"/>
    <w:tmpl w:val="6EB0B000"/>
    <w:lvl w:ilvl="0" w:tplc="60E6E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63404E"/>
    <w:multiLevelType w:val="hybridMultilevel"/>
    <w:tmpl w:val="2460F7A0"/>
    <w:lvl w:ilvl="0" w:tplc="F08CE60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6496383">
    <w:abstractNumId w:val="0"/>
  </w:num>
  <w:num w:numId="2" w16cid:durableId="968050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oNotTrackFormatting/>
  <w:defaultTabStop w:val="862"/>
  <w:drawingGridHorizontalSpacing w:val="2867"/>
  <w:drawingGridVerticalSpacing w:val="2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numFmt w:val="decimalFullWidth"/>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D23"/>
    <w:rsid w:val="00001BF6"/>
    <w:rsid w:val="00003933"/>
    <w:rsid w:val="00007BE2"/>
    <w:rsid w:val="000133F9"/>
    <w:rsid w:val="00015439"/>
    <w:rsid w:val="000207DD"/>
    <w:rsid w:val="00022507"/>
    <w:rsid w:val="00056C36"/>
    <w:rsid w:val="000658A1"/>
    <w:rsid w:val="00086A6D"/>
    <w:rsid w:val="000B445D"/>
    <w:rsid w:val="000B53FB"/>
    <w:rsid w:val="000C03DE"/>
    <w:rsid w:val="000C6386"/>
    <w:rsid w:val="000E484B"/>
    <w:rsid w:val="00102C7D"/>
    <w:rsid w:val="001424D8"/>
    <w:rsid w:val="001610D6"/>
    <w:rsid w:val="00166D5C"/>
    <w:rsid w:val="0017457C"/>
    <w:rsid w:val="00176EA8"/>
    <w:rsid w:val="001905F0"/>
    <w:rsid w:val="001B46B7"/>
    <w:rsid w:val="001C0DCB"/>
    <w:rsid w:val="001F2570"/>
    <w:rsid w:val="0020044B"/>
    <w:rsid w:val="00204284"/>
    <w:rsid w:val="00214BD3"/>
    <w:rsid w:val="0021550D"/>
    <w:rsid w:val="00215ECD"/>
    <w:rsid w:val="00216F08"/>
    <w:rsid w:val="00221DBB"/>
    <w:rsid w:val="00241F4B"/>
    <w:rsid w:val="00243277"/>
    <w:rsid w:val="00250F1F"/>
    <w:rsid w:val="00252A4E"/>
    <w:rsid w:val="00260D82"/>
    <w:rsid w:val="002751FA"/>
    <w:rsid w:val="00276983"/>
    <w:rsid w:val="0029067D"/>
    <w:rsid w:val="002962DB"/>
    <w:rsid w:val="002A34C3"/>
    <w:rsid w:val="002B0004"/>
    <w:rsid w:val="002B1580"/>
    <w:rsid w:val="002B44BD"/>
    <w:rsid w:val="002C32DC"/>
    <w:rsid w:val="002D358E"/>
    <w:rsid w:val="002D6E12"/>
    <w:rsid w:val="002F24F2"/>
    <w:rsid w:val="003038B9"/>
    <w:rsid w:val="00326861"/>
    <w:rsid w:val="00340B34"/>
    <w:rsid w:val="0035499F"/>
    <w:rsid w:val="003627C9"/>
    <w:rsid w:val="003718E6"/>
    <w:rsid w:val="003733CA"/>
    <w:rsid w:val="0038449C"/>
    <w:rsid w:val="00392BBC"/>
    <w:rsid w:val="003A4D2F"/>
    <w:rsid w:val="003B2764"/>
    <w:rsid w:val="003B4BC7"/>
    <w:rsid w:val="003D3063"/>
    <w:rsid w:val="003E6F1F"/>
    <w:rsid w:val="003F25EB"/>
    <w:rsid w:val="0040292C"/>
    <w:rsid w:val="00402D49"/>
    <w:rsid w:val="00427344"/>
    <w:rsid w:val="004306FF"/>
    <w:rsid w:val="00444826"/>
    <w:rsid w:val="004627A9"/>
    <w:rsid w:val="00463843"/>
    <w:rsid w:val="00483284"/>
    <w:rsid w:val="004A1D25"/>
    <w:rsid w:val="004A5109"/>
    <w:rsid w:val="004A6EFB"/>
    <w:rsid w:val="004C64E9"/>
    <w:rsid w:val="004C721A"/>
    <w:rsid w:val="004D31F9"/>
    <w:rsid w:val="004D657C"/>
    <w:rsid w:val="004E0ED1"/>
    <w:rsid w:val="0050040D"/>
    <w:rsid w:val="00506989"/>
    <w:rsid w:val="00507AE6"/>
    <w:rsid w:val="0052009D"/>
    <w:rsid w:val="00536079"/>
    <w:rsid w:val="0055376F"/>
    <w:rsid w:val="00585101"/>
    <w:rsid w:val="005A242C"/>
    <w:rsid w:val="005B428C"/>
    <w:rsid w:val="005B5DEB"/>
    <w:rsid w:val="005C5461"/>
    <w:rsid w:val="005E3F19"/>
    <w:rsid w:val="005E4B51"/>
    <w:rsid w:val="005F15C8"/>
    <w:rsid w:val="005F4D15"/>
    <w:rsid w:val="0060421A"/>
    <w:rsid w:val="0061164F"/>
    <w:rsid w:val="00620729"/>
    <w:rsid w:val="0063643F"/>
    <w:rsid w:val="0063763E"/>
    <w:rsid w:val="006602F3"/>
    <w:rsid w:val="00662535"/>
    <w:rsid w:val="00666F9A"/>
    <w:rsid w:val="00675ABE"/>
    <w:rsid w:val="006B2AB1"/>
    <w:rsid w:val="006B41D2"/>
    <w:rsid w:val="006D5892"/>
    <w:rsid w:val="006E0E12"/>
    <w:rsid w:val="006E15F9"/>
    <w:rsid w:val="006F2129"/>
    <w:rsid w:val="00716F84"/>
    <w:rsid w:val="00733611"/>
    <w:rsid w:val="00733BB7"/>
    <w:rsid w:val="00736811"/>
    <w:rsid w:val="0074137D"/>
    <w:rsid w:val="00743456"/>
    <w:rsid w:val="00752D23"/>
    <w:rsid w:val="0076034F"/>
    <w:rsid w:val="0077413A"/>
    <w:rsid w:val="00781127"/>
    <w:rsid w:val="007912EE"/>
    <w:rsid w:val="00792EE3"/>
    <w:rsid w:val="007973E1"/>
    <w:rsid w:val="007C3AF1"/>
    <w:rsid w:val="007D310B"/>
    <w:rsid w:val="007D4251"/>
    <w:rsid w:val="007D66DD"/>
    <w:rsid w:val="007D6B8B"/>
    <w:rsid w:val="007E014F"/>
    <w:rsid w:val="007E1F93"/>
    <w:rsid w:val="007E369D"/>
    <w:rsid w:val="007E62BF"/>
    <w:rsid w:val="00807014"/>
    <w:rsid w:val="00812564"/>
    <w:rsid w:val="00815474"/>
    <w:rsid w:val="008209ED"/>
    <w:rsid w:val="00845A1B"/>
    <w:rsid w:val="0084775C"/>
    <w:rsid w:val="00850A9D"/>
    <w:rsid w:val="008566A4"/>
    <w:rsid w:val="00866364"/>
    <w:rsid w:val="00866504"/>
    <w:rsid w:val="00871963"/>
    <w:rsid w:val="00874919"/>
    <w:rsid w:val="008C26C2"/>
    <w:rsid w:val="008C7803"/>
    <w:rsid w:val="008D314F"/>
    <w:rsid w:val="008E2635"/>
    <w:rsid w:val="008F01D9"/>
    <w:rsid w:val="00900846"/>
    <w:rsid w:val="00912846"/>
    <w:rsid w:val="00915425"/>
    <w:rsid w:val="009205ED"/>
    <w:rsid w:val="00924F4E"/>
    <w:rsid w:val="009309EE"/>
    <w:rsid w:val="009367E5"/>
    <w:rsid w:val="00942C6D"/>
    <w:rsid w:val="00943440"/>
    <w:rsid w:val="00970EBD"/>
    <w:rsid w:val="00971A09"/>
    <w:rsid w:val="0099134C"/>
    <w:rsid w:val="0099613E"/>
    <w:rsid w:val="009A1106"/>
    <w:rsid w:val="009B0A4B"/>
    <w:rsid w:val="009B14BD"/>
    <w:rsid w:val="009B3880"/>
    <w:rsid w:val="009B698B"/>
    <w:rsid w:val="009C4700"/>
    <w:rsid w:val="009C6A02"/>
    <w:rsid w:val="009E16FE"/>
    <w:rsid w:val="009E2339"/>
    <w:rsid w:val="009F4A29"/>
    <w:rsid w:val="009F6798"/>
    <w:rsid w:val="00A05C5C"/>
    <w:rsid w:val="00A07DE4"/>
    <w:rsid w:val="00A140A0"/>
    <w:rsid w:val="00A16241"/>
    <w:rsid w:val="00A16E8A"/>
    <w:rsid w:val="00A37CDA"/>
    <w:rsid w:val="00A7262B"/>
    <w:rsid w:val="00A73043"/>
    <w:rsid w:val="00A773E8"/>
    <w:rsid w:val="00A80409"/>
    <w:rsid w:val="00A872EF"/>
    <w:rsid w:val="00A979A8"/>
    <w:rsid w:val="00AC4632"/>
    <w:rsid w:val="00AD2A8F"/>
    <w:rsid w:val="00AF6D9B"/>
    <w:rsid w:val="00B05B3F"/>
    <w:rsid w:val="00B0649E"/>
    <w:rsid w:val="00B15F26"/>
    <w:rsid w:val="00B21D28"/>
    <w:rsid w:val="00B2727A"/>
    <w:rsid w:val="00B301DE"/>
    <w:rsid w:val="00B4640E"/>
    <w:rsid w:val="00B53F67"/>
    <w:rsid w:val="00B72448"/>
    <w:rsid w:val="00B81613"/>
    <w:rsid w:val="00BB0413"/>
    <w:rsid w:val="00BD2097"/>
    <w:rsid w:val="00BD3118"/>
    <w:rsid w:val="00BD5D4A"/>
    <w:rsid w:val="00BD7538"/>
    <w:rsid w:val="00BF1784"/>
    <w:rsid w:val="00BF4C6B"/>
    <w:rsid w:val="00C40FED"/>
    <w:rsid w:val="00C449BD"/>
    <w:rsid w:val="00C6162C"/>
    <w:rsid w:val="00C811D0"/>
    <w:rsid w:val="00C81BC6"/>
    <w:rsid w:val="00C82F0C"/>
    <w:rsid w:val="00C83DB0"/>
    <w:rsid w:val="00C976DF"/>
    <w:rsid w:val="00CB123A"/>
    <w:rsid w:val="00CE0058"/>
    <w:rsid w:val="00CF6AD0"/>
    <w:rsid w:val="00D234E9"/>
    <w:rsid w:val="00D43208"/>
    <w:rsid w:val="00D47527"/>
    <w:rsid w:val="00D50E43"/>
    <w:rsid w:val="00D82E7A"/>
    <w:rsid w:val="00DC023A"/>
    <w:rsid w:val="00DC4676"/>
    <w:rsid w:val="00DD57D7"/>
    <w:rsid w:val="00DE51EA"/>
    <w:rsid w:val="00E10B44"/>
    <w:rsid w:val="00E1256C"/>
    <w:rsid w:val="00E229EE"/>
    <w:rsid w:val="00E30B6C"/>
    <w:rsid w:val="00E474F5"/>
    <w:rsid w:val="00E5142A"/>
    <w:rsid w:val="00E6168A"/>
    <w:rsid w:val="00EA663E"/>
    <w:rsid w:val="00EB5FC5"/>
    <w:rsid w:val="00EE6614"/>
    <w:rsid w:val="00EF542A"/>
    <w:rsid w:val="00F0379F"/>
    <w:rsid w:val="00F06461"/>
    <w:rsid w:val="00F16A88"/>
    <w:rsid w:val="00F503E7"/>
    <w:rsid w:val="00F60425"/>
    <w:rsid w:val="00F67B09"/>
    <w:rsid w:val="00F67BD4"/>
    <w:rsid w:val="00F7362E"/>
    <w:rsid w:val="00F85509"/>
    <w:rsid w:val="00FA70A9"/>
    <w:rsid w:val="00FA793A"/>
    <w:rsid w:val="00FB2E46"/>
    <w:rsid w:val="00FB4824"/>
    <w:rsid w:val="00FB4DD6"/>
    <w:rsid w:val="00FC0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15FD40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rPr>
  </w:style>
  <w:style w:type="paragraph" w:styleId="1">
    <w:name w:val="heading 1"/>
    <w:basedOn w:val="a"/>
    <w:next w:val="a"/>
    <w:link w:val="10"/>
    <w:uiPriority w:val="9"/>
    <w:qFormat/>
    <w:rsid w:val="00EB5FC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7">
    <w:name w:val="header"/>
    <w:basedOn w:val="a"/>
    <w:link w:val="a8"/>
    <w:uiPriority w:val="99"/>
    <w:unhideWhenUsed/>
    <w:rsid w:val="00752D23"/>
    <w:pPr>
      <w:tabs>
        <w:tab w:val="center" w:pos="4252"/>
        <w:tab w:val="right" w:pos="8504"/>
      </w:tabs>
      <w:snapToGrid w:val="0"/>
    </w:pPr>
  </w:style>
  <w:style w:type="character" w:customStyle="1" w:styleId="a8">
    <w:name w:val="ヘッダー (文字)"/>
    <w:link w:val="a7"/>
    <w:uiPriority w:val="99"/>
    <w:locked/>
    <w:rsid w:val="00752D23"/>
    <w:rPr>
      <w:rFonts w:ascii="ＭＳ 明朝" w:eastAsia="ＭＳ 明朝" w:cs="ＭＳ 明朝"/>
      <w:color w:val="000000"/>
      <w:kern w:val="0"/>
      <w:sz w:val="20"/>
      <w:szCs w:val="20"/>
    </w:rPr>
  </w:style>
  <w:style w:type="paragraph" w:styleId="a9">
    <w:name w:val="footer"/>
    <w:basedOn w:val="a"/>
    <w:link w:val="aa"/>
    <w:uiPriority w:val="99"/>
    <w:unhideWhenUsed/>
    <w:rsid w:val="00752D23"/>
    <w:pPr>
      <w:tabs>
        <w:tab w:val="center" w:pos="4252"/>
        <w:tab w:val="right" w:pos="8504"/>
      </w:tabs>
      <w:snapToGrid w:val="0"/>
    </w:pPr>
  </w:style>
  <w:style w:type="character" w:customStyle="1" w:styleId="aa">
    <w:name w:val="フッター (文字)"/>
    <w:link w:val="a9"/>
    <w:uiPriority w:val="99"/>
    <w:locked/>
    <w:rsid w:val="00752D23"/>
    <w:rPr>
      <w:rFonts w:ascii="ＭＳ 明朝" w:eastAsia="ＭＳ 明朝" w:cs="ＭＳ 明朝"/>
      <w:color w:val="000000"/>
      <w:kern w:val="0"/>
      <w:sz w:val="20"/>
      <w:szCs w:val="20"/>
    </w:rPr>
  </w:style>
  <w:style w:type="paragraph" w:styleId="ab">
    <w:name w:val="Balloon Text"/>
    <w:basedOn w:val="a"/>
    <w:link w:val="ac"/>
    <w:uiPriority w:val="99"/>
    <w:semiHidden/>
    <w:unhideWhenUsed/>
    <w:rsid w:val="00216F08"/>
    <w:rPr>
      <w:rFonts w:ascii="Arial" w:eastAsia="ＭＳ ゴシック" w:hAnsi="Arial" w:cs="Times New Roman"/>
      <w:sz w:val="18"/>
      <w:szCs w:val="18"/>
    </w:rPr>
  </w:style>
  <w:style w:type="character" w:customStyle="1" w:styleId="ac">
    <w:name w:val="吹き出し (文字)"/>
    <w:link w:val="ab"/>
    <w:uiPriority w:val="99"/>
    <w:semiHidden/>
    <w:locked/>
    <w:rsid w:val="00216F08"/>
    <w:rPr>
      <w:rFonts w:ascii="Arial" w:eastAsia="ＭＳ ゴシック" w:hAnsi="Arial" w:cs="Times New Roman"/>
      <w:color w:val="000000"/>
      <w:kern w:val="0"/>
      <w:sz w:val="18"/>
      <w:szCs w:val="18"/>
    </w:rPr>
  </w:style>
  <w:style w:type="character" w:styleId="ad">
    <w:name w:val="annotation reference"/>
    <w:uiPriority w:val="99"/>
    <w:semiHidden/>
    <w:unhideWhenUsed/>
    <w:rsid w:val="00216F08"/>
    <w:rPr>
      <w:rFonts w:cs="Times New Roman"/>
      <w:sz w:val="18"/>
      <w:szCs w:val="18"/>
    </w:rPr>
  </w:style>
  <w:style w:type="paragraph" w:styleId="ae">
    <w:name w:val="annotation text"/>
    <w:basedOn w:val="a"/>
    <w:link w:val="af"/>
    <w:uiPriority w:val="99"/>
    <w:semiHidden/>
    <w:unhideWhenUsed/>
    <w:rsid w:val="00216F08"/>
  </w:style>
  <w:style w:type="character" w:customStyle="1" w:styleId="af">
    <w:name w:val="コメント文字列 (文字)"/>
    <w:link w:val="ae"/>
    <w:uiPriority w:val="99"/>
    <w:semiHidden/>
    <w:locked/>
    <w:rsid w:val="00216F08"/>
    <w:rPr>
      <w:rFonts w:ascii="ＭＳ 明朝" w:eastAsia="ＭＳ 明朝" w:cs="ＭＳ 明朝"/>
      <w:color w:val="000000"/>
      <w:kern w:val="0"/>
      <w:sz w:val="20"/>
      <w:szCs w:val="20"/>
    </w:rPr>
  </w:style>
  <w:style w:type="paragraph" w:styleId="af0">
    <w:name w:val="annotation subject"/>
    <w:basedOn w:val="ae"/>
    <w:next w:val="ae"/>
    <w:link w:val="af1"/>
    <w:uiPriority w:val="99"/>
    <w:semiHidden/>
    <w:unhideWhenUsed/>
    <w:rsid w:val="00216F08"/>
    <w:rPr>
      <w:b/>
      <w:bCs/>
    </w:rPr>
  </w:style>
  <w:style w:type="character" w:customStyle="1" w:styleId="af1">
    <w:name w:val="コメント内容 (文字)"/>
    <w:link w:val="af0"/>
    <w:uiPriority w:val="99"/>
    <w:semiHidden/>
    <w:locked/>
    <w:rsid w:val="00216F08"/>
    <w:rPr>
      <w:rFonts w:ascii="ＭＳ 明朝" w:eastAsia="ＭＳ 明朝" w:cs="ＭＳ 明朝"/>
      <w:b/>
      <w:bCs/>
      <w:color w:val="000000"/>
      <w:kern w:val="0"/>
      <w:sz w:val="20"/>
      <w:szCs w:val="20"/>
    </w:rPr>
  </w:style>
  <w:style w:type="table" w:styleId="af2">
    <w:name w:val="Table Grid"/>
    <w:basedOn w:val="a1"/>
    <w:uiPriority w:val="39"/>
    <w:rsid w:val="00B15F2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uiPriority w:val="1"/>
    <w:qFormat/>
    <w:rsid w:val="00EB5FC5"/>
    <w:pPr>
      <w:widowControl w:val="0"/>
      <w:suppressAutoHyphens/>
      <w:wordWrap w:val="0"/>
      <w:adjustRightInd w:val="0"/>
      <w:textAlignment w:val="baseline"/>
    </w:pPr>
    <w:rPr>
      <w:rFonts w:ascii="ＭＳ 明朝" w:hAnsi="ＭＳ 明朝" w:cs="ＭＳ 明朝"/>
      <w:color w:val="000000"/>
    </w:rPr>
  </w:style>
  <w:style w:type="character" w:customStyle="1" w:styleId="10">
    <w:name w:val="見出し 1 (文字)"/>
    <w:basedOn w:val="a0"/>
    <w:link w:val="1"/>
    <w:uiPriority w:val="9"/>
    <w:rsid w:val="00EB5FC5"/>
    <w:rPr>
      <w:rFonts w:asciiTheme="majorHAnsi" w:eastAsiaTheme="majorEastAsia" w:hAnsiTheme="majorHAnsi" w:cstheme="majorBidi"/>
      <w:color w:val="000000"/>
      <w:sz w:val="24"/>
      <w:szCs w:val="24"/>
    </w:rPr>
  </w:style>
  <w:style w:type="paragraph" w:styleId="af4">
    <w:name w:val="List Paragraph"/>
    <w:basedOn w:val="a"/>
    <w:uiPriority w:val="34"/>
    <w:qFormat/>
    <w:rsid w:val="002B0004"/>
    <w:pPr>
      <w:ind w:leftChars="400" w:left="840"/>
    </w:pPr>
  </w:style>
  <w:style w:type="paragraph" w:styleId="af5">
    <w:name w:val="Revision"/>
    <w:hidden/>
    <w:uiPriority w:val="99"/>
    <w:semiHidden/>
    <w:rsid w:val="003E6F1F"/>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6294E6-08B5-43E9-AD1E-2CD3AE38B6CE}">
  <ds:schemaRefs>
    <ds:schemaRef ds:uri="http://schemas.openxmlformats.org/officeDocument/2006/bibliography"/>
  </ds:schemaRefs>
</ds:datastoreItem>
</file>

<file path=customXml/itemProps2.xml><?xml version="1.0" encoding="utf-8"?>
<ds:datastoreItem xmlns:ds="http://schemas.openxmlformats.org/officeDocument/2006/customXml" ds:itemID="{88C8E1E9-3FB2-46AE-9FBC-4C9191CED123}"/>
</file>

<file path=customXml/itemProps3.xml><?xml version="1.0" encoding="utf-8"?>
<ds:datastoreItem xmlns:ds="http://schemas.openxmlformats.org/officeDocument/2006/customXml" ds:itemID="{034D2042-493C-4A4F-894D-58E2DA9D4EA6}"/>
</file>

<file path=customXml/itemProps4.xml><?xml version="1.0" encoding="utf-8"?>
<ds:datastoreItem xmlns:ds="http://schemas.openxmlformats.org/officeDocument/2006/customXml" ds:itemID="{B37FAB6E-4728-4364-8EEB-B62C425ABFA5}"/>
</file>

<file path=docProps/app.xml><?xml version="1.0" encoding="utf-8"?>
<Properties xmlns="http://schemas.openxmlformats.org/officeDocument/2006/extended-properties" xmlns:vt="http://schemas.openxmlformats.org/officeDocument/2006/docPropsVTypes">
  <Template>Normal.dotm</Template>
  <TotalTime>0</TotalTime>
  <Pages>2</Pages>
  <Words>949</Words>
  <Characters>223</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2024-03-08T04:23:00Z</dcterms:created>
  <dcterms:modified xsi:type="dcterms:W3CDTF">2024-03-08T04:23:00Z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