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127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58A">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9A5">
              <w:rPr>
                <w:rFonts w:hAnsi="Times New Roman" w:hint="eastAsia"/>
                <w:color w:val="auto"/>
                <w:spacing w:val="13"/>
                <w:w w:val="94"/>
                <w:fitText w:val="1000" w:id="-636787200"/>
              </w:rPr>
              <w:t>担当者氏</w:t>
            </w:r>
            <w:r w:rsidRPr="00EC79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9A5">
              <w:rPr>
                <w:rFonts w:hAnsi="Times New Roman" w:hint="eastAsia"/>
                <w:color w:val="auto"/>
                <w:spacing w:val="40"/>
                <w:fitText w:val="1000" w:id="-636787199"/>
              </w:rPr>
              <w:t>電話番</w:t>
            </w:r>
            <w:r w:rsidRPr="00EC79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D3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558A">
              <w:rPr>
                <w:rFonts w:hint="eastAsia"/>
                <w:color w:val="auto"/>
                <w:sz w:val="32"/>
                <w:szCs w:val="32"/>
              </w:rPr>
              <w:t>初診料（歯科）の注16及び再診料（歯科）の注13に掲げる基準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896820" w:rsidR="006421D2" w:rsidRDefault="00EC79A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610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67C42"/>
    <w:rsid w:val="00B7558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79A5"/>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C432CE0-120D-4F74-A51B-E82BE127E70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