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C3C94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E1690">
              <w:rPr>
                <w:rFonts w:hAnsi="Times New Roman" w:cs="Times New Roman" w:hint="eastAsia"/>
                <w:color w:val="auto"/>
                <w:spacing w:val="4"/>
                <w:sz w:val="16"/>
                <w:szCs w:val="16"/>
              </w:rPr>
              <w:t>腹断端支</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0109">
              <w:rPr>
                <w:rFonts w:hAnsi="Times New Roman" w:hint="eastAsia"/>
                <w:color w:val="auto"/>
                <w:spacing w:val="13"/>
                <w:w w:val="94"/>
                <w:fitText w:val="1000" w:id="-636787200"/>
              </w:rPr>
              <w:t>担当者氏</w:t>
            </w:r>
            <w:r w:rsidRPr="001A0109">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1A0109">
              <w:rPr>
                <w:rFonts w:hAnsi="Times New Roman" w:hint="eastAsia"/>
                <w:color w:val="auto"/>
                <w:spacing w:val="40"/>
                <w:fitText w:val="1000" w:id="-636787199"/>
              </w:rPr>
              <w:t>電話番</w:t>
            </w:r>
            <w:r w:rsidRPr="001A010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F153E7"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E1690">
              <w:rPr>
                <w:rFonts w:hint="eastAsia"/>
                <w:color w:val="auto"/>
                <w:sz w:val="32"/>
                <w:szCs w:val="32"/>
              </w:rPr>
              <w:t>腹腔鏡下腟断端挙上術（内視鏡手術用支援機器を用いる場合）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78C96C8" w:rsidR="006421D2" w:rsidRDefault="001A0109" w:rsidP="00D64E82">
            <w:pPr>
              <w:kinsoku w:val="0"/>
              <w:autoSpaceDE w:val="0"/>
              <w:autoSpaceDN w:val="0"/>
              <w:spacing w:line="274" w:lineRule="atLeast"/>
              <w:ind w:firstLineChars="200" w:firstLine="420"/>
              <w:rPr>
                <w:sz w:val="20"/>
                <w:szCs w:val="20"/>
              </w:rPr>
            </w:pPr>
            <w:r>
              <w:rPr>
                <w:rFonts w:hint="eastAsia"/>
                <w:color w:val="auto"/>
                <w:sz w:val="20"/>
                <w:szCs w:val="20"/>
              </w:rPr>
              <w:t>中国四国厚生局長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037B0"/>
    <w:rsid w:val="001542E9"/>
    <w:rsid w:val="001553FF"/>
    <w:rsid w:val="00155E18"/>
    <w:rsid w:val="00166130"/>
    <w:rsid w:val="001A0109"/>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57EB4"/>
    <w:rsid w:val="003859F6"/>
    <w:rsid w:val="003C2917"/>
    <w:rsid w:val="004001CF"/>
    <w:rsid w:val="00416EE2"/>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1690"/>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018DADA-C663-4156-9152-DDEE08779CCD}"/>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12007900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