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DCB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765">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ABA">
              <w:rPr>
                <w:rFonts w:hAnsi="Times New Roman" w:hint="eastAsia"/>
                <w:color w:val="auto"/>
                <w:spacing w:val="13"/>
                <w:w w:val="94"/>
                <w:fitText w:val="1000" w:id="-636787200"/>
              </w:rPr>
              <w:t>担当者氏</w:t>
            </w:r>
            <w:r w:rsidRPr="009A7A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ABA">
              <w:rPr>
                <w:rFonts w:hAnsi="Times New Roman" w:hint="eastAsia"/>
                <w:color w:val="auto"/>
                <w:spacing w:val="40"/>
                <w:fitText w:val="1000" w:id="-636787199"/>
              </w:rPr>
              <w:t>電話番</w:t>
            </w:r>
            <w:r w:rsidRPr="009A7A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6F1C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1765">
              <w:rPr>
                <w:rFonts w:hint="eastAsia"/>
                <w:color w:val="auto"/>
                <w:sz w:val="32"/>
                <w:szCs w:val="32"/>
              </w:rPr>
              <w:t xml:space="preserve">強度変調放射線治療（ＩＭＲＴ）の前立腺癌に対する前立腺照射（寡分割照射に係るものに限る。）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4754C" w:rsidR="006421D2" w:rsidRDefault="009A7A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383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765"/>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62EC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7AB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80E773A-0076-4106-AAE7-26C78FAFF76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