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16F7207B-1A6A-47D5-ABDE-EE7308F06193}"/>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