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796" w:rsidRPr="00522796" w:rsidRDefault="00D51453" w:rsidP="00522796">
      <w:pPr>
        <w:overflowPunct w:val="0"/>
        <w:adjustRightInd w:val="0"/>
        <w:snapToGrid w:val="0"/>
        <w:ind w:leftChars="100" w:left="210"/>
        <w:jc w:val="center"/>
        <w:textAlignment w:val="baseline"/>
        <w:rPr>
          <w:rFonts w:ascii="ＭＳ ゴシック" w:eastAsia="ＭＳ ゴシック" w:hAnsi="ＭＳ ゴシック" w:cs="MS-Mincho"/>
          <w:kern w:val="0"/>
          <w:sz w:val="24"/>
          <w:szCs w:val="24"/>
        </w:rPr>
      </w:pPr>
      <w:bookmarkStart w:id="0" w:name="_GoBack"/>
      <w:bookmarkEnd w:id="0"/>
      <w:r>
        <w:rPr>
          <w:rFonts w:ascii="ＭＳ ゴシック" w:eastAsia="ＭＳ ゴシック" w:hAnsi="ＭＳ ゴシック" w:cs="MS-Mincho"/>
          <w:noProof/>
          <w:kern w:val="0"/>
          <w:sz w:val="24"/>
          <w:szCs w:val="24"/>
        </w:rPr>
        <mc:AlternateContent>
          <mc:Choice Requires="wps">
            <w:drawing>
              <wp:anchor distT="0" distB="0" distL="114300" distR="114300" simplePos="0" relativeHeight="251657728" behindDoc="0" locked="0" layoutInCell="1" allowOverlap="1">
                <wp:simplePos x="0" y="0"/>
                <wp:positionH relativeFrom="column">
                  <wp:posOffset>8090535</wp:posOffset>
                </wp:positionH>
                <wp:positionV relativeFrom="paragraph">
                  <wp:posOffset>-264160</wp:posOffset>
                </wp:positionV>
                <wp:extent cx="1276350" cy="371475"/>
                <wp:effectExtent l="3810" t="254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8DC" w:rsidRPr="000928DC" w:rsidRDefault="000928DC" w:rsidP="000928DC">
                            <w:pPr>
                              <w:jc w:val="center"/>
                              <w:rPr>
                                <w:rFonts w:ascii="ＭＳ ゴシック" w:eastAsia="ＭＳ ゴシック" w:hAnsi="ＭＳ ゴシック"/>
                                <w:sz w:val="28"/>
                              </w:rPr>
                            </w:pPr>
                            <w:r>
                              <w:rPr>
                                <w:rFonts w:ascii="ＭＳ ゴシック" w:eastAsia="ＭＳ ゴシック" w:hAnsi="ＭＳ ゴシック" w:hint="eastAsia"/>
                                <w:sz w:val="28"/>
                              </w:rPr>
                              <w:t>（</w:t>
                            </w:r>
                            <w:r w:rsidR="00D51453">
                              <w:rPr>
                                <w:rFonts w:ascii="ＭＳ ゴシック" w:eastAsia="ＭＳ ゴシック" w:hAnsi="ＭＳ ゴシック" w:hint="eastAsia"/>
                                <w:sz w:val="28"/>
                              </w:rPr>
                              <w:t>別添</w:t>
                            </w:r>
                            <w:r>
                              <w:rPr>
                                <w:rFonts w:ascii="ＭＳ ゴシック" w:eastAsia="ＭＳ ゴシック" w:hAnsi="ＭＳ ゴシック" w:hint="eastAsia"/>
                                <w:sz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37.05pt;margin-top:-20.8pt;width:100.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38pswIAALc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" filled="f" stroked="f">
                <v:textbox inset="5.85pt,.7pt,5.85pt,.7pt">
                  <w:txbxContent>
                    <w:p w:rsidR="000928DC" w:rsidRPr="000928DC" w:rsidRDefault="000928DC" w:rsidP="000928DC">
                      <w:pPr>
                        <w:jc w:val="center"/>
                        <w:rPr>
                          <w:rFonts w:ascii="ＭＳ ゴシック" w:eastAsia="ＭＳ ゴシック" w:hAnsi="ＭＳ ゴシック"/>
                          <w:sz w:val="28"/>
                        </w:rPr>
                      </w:pPr>
                      <w:r>
                        <w:rPr>
                          <w:rFonts w:ascii="ＭＳ ゴシック" w:eastAsia="ＭＳ ゴシック" w:hAnsi="ＭＳ ゴシック" w:hint="eastAsia"/>
                          <w:sz w:val="28"/>
                        </w:rPr>
                        <w:t>（</w:t>
                      </w:r>
                      <w:r w:rsidR="00D51453">
                        <w:rPr>
                          <w:rFonts w:ascii="ＭＳ ゴシック" w:eastAsia="ＭＳ ゴシック" w:hAnsi="ＭＳ ゴシック" w:hint="eastAsia"/>
                          <w:sz w:val="28"/>
                        </w:rPr>
                        <w:t>別添</w:t>
                      </w:r>
                      <w:r>
                        <w:rPr>
                          <w:rFonts w:ascii="ＭＳ ゴシック" w:eastAsia="ＭＳ ゴシック" w:hAnsi="ＭＳ ゴシック" w:hint="eastAsia"/>
                          <w:sz w:val="28"/>
                        </w:rPr>
                        <w:t>）</w:t>
                      </w:r>
                    </w:p>
                  </w:txbxContent>
                </v:textbox>
              </v:shape>
            </w:pict>
          </mc:Fallback>
        </mc:AlternateContent>
      </w:r>
      <w:r w:rsidR="00C67AB4">
        <w:rPr>
          <w:rFonts w:ascii="ＭＳ ゴシック" w:eastAsia="ＭＳ ゴシック" w:hAnsi="ＭＳ ゴシック" w:cs="MS-Mincho" w:hint="eastAsia"/>
          <w:kern w:val="0"/>
          <w:sz w:val="24"/>
          <w:szCs w:val="24"/>
        </w:rPr>
        <w:t>平成30年７月豪雨による被災</w:t>
      </w:r>
      <w:r>
        <w:rPr>
          <w:rFonts w:ascii="ＭＳ ゴシック" w:eastAsia="ＭＳ ゴシック" w:hAnsi="ＭＳ ゴシック" w:cs="MS-Mincho" w:hint="eastAsia"/>
          <w:kern w:val="0"/>
          <w:sz w:val="24"/>
          <w:szCs w:val="24"/>
        </w:rPr>
        <w:t>に伴う保険診療の</w:t>
      </w:r>
      <w:r w:rsidR="00522796" w:rsidRPr="00522796">
        <w:rPr>
          <w:rFonts w:ascii="ＭＳ ゴシック" w:eastAsia="ＭＳ ゴシック" w:hAnsi="ＭＳ ゴシック" w:cs="MS-Mincho" w:hint="eastAsia"/>
          <w:kern w:val="0"/>
          <w:sz w:val="24"/>
          <w:szCs w:val="24"/>
        </w:rPr>
        <w:t>特例措置</w:t>
      </w:r>
      <w:r>
        <w:rPr>
          <w:rFonts w:ascii="ＭＳ ゴシック" w:eastAsia="ＭＳ ゴシック" w:hAnsi="ＭＳ ゴシック" w:cs="MS-Mincho" w:hint="eastAsia"/>
          <w:kern w:val="0"/>
          <w:sz w:val="24"/>
          <w:szCs w:val="24"/>
        </w:rPr>
        <w:t>の</w:t>
      </w:r>
      <w:r w:rsidR="00522796" w:rsidRPr="00522796">
        <w:rPr>
          <w:rFonts w:ascii="ＭＳ ゴシック" w:eastAsia="ＭＳ ゴシック" w:hAnsi="ＭＳ ゴシック" w:cs="MS-Mincho" w:hint="eastAsia"/>
          <w:kern w:val="0"/>
          <w:sz w:val="24"/>
          <w:szCs w:val="24"/>
        </w:rPr>
        <w:t>概要</w:t>
      </w:r>
    </w:p>
    <w:p w:rsidR="001F2F9C" w:rsidRPr="00BA775E" w:rsidRDefault="00D67FFD" w:rsidP="00BA775E">
      <w:pPr>
        <w:overflowPunct w:val="0"/>
        <w:adjustRightInd w:val="0"/>
        <w:snapToGrid w:val="0"/>
        <w:ind w:leftChars="100" w:left="210"/>
        <w:jc w:val="center"/>
        <w:textAlignment w:val="baseline"/>
        <w:rPr>
          <w:rFonts w:ascii="ＭＳ ゴシック" w:eastAsia="ＭＳ ゴシック" w:hAnsi="ＭＳ 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1312" behindDoc="0" locked="0" layoutInCell="1" allowOverlap="1" wp14:anchorId="34791C6F" wp14:editId="2544A910">
                <wp:simplePos x="0" y="0"/>
                <wp:positionH relativeFrom="column">
                  <wp:posOffset>-234315</wp:posOffset>
                </wp:positionH>
                <wp:positionV relativeFrom="paragraph">
                  <wp:posOffset>2205355</wp:posOffset>
                </wp:positionV>
                <wp:extent cx="9686925" cy="552450"/>
                <wp:effectExtent l="0" t="0" r="28575" b="19050"/>
                <wp:wrapNone/>
                <wp:docPr id="27" name="直線コネクタ 27"/>
                <wp:cNvGraphicFramePr/>
                <a:graphic xmlns:a="http://schemas.openxmlformats.org/drawingml/2006/main">
                  <a:graphicData uri="http://schemas.microsoft.com/office/word/2010/wordprocessingShape">
                    <wps:wsp>
                      <wps:cNvCnPr/>
                      <wps:spPr>
                        <a:xfrm>
                          <a:off x="0" y="0"/>
                          <a:ext cx="9686925" cy="55245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8D4DF3" id="直線コネクタ 27"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173.65pt" to="744.3pt,2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" strokecolor="windowText" strokeweight="1pt"/>
            </w:pict>
          </mc:Fallback>
        </mc:AlternateContent>
      </w:r>
      <w:r w:rsidR="001A7911" w:rsidRPr="00941E57">
        <w:rPr>
          <w:rFonts w:ascii="ＭＳ ゴシック" w:eastAsia="ＭＳ ゴシック" w:hAnsi="ＭＳ ゴシック" w:cs="MS-Mincho" w:hint="eastAsia"/>
          <w:kern w:val="0"/>
          <w:szCs w:val="24"/>
        </w:rPr>
        <w:t>（</w:t>
      </w:r>
      <w:r w:rsidR="00543E23" w:rsidRPr="00941E57">
        <w:rPr>
          <w:rFonts w:ascii="ＭＳ ゴシック" w:eastAsia="ＭＳ ゴシック" w:hAnsi="ＭＳ ゴシック" w:cs="MS-Mincho" w:hint="eastAsia"/>
          <w:kern w:val="0"/>
          <w:szCs w:val="24"/>
        </w:rPr>
        <w:t>該当する通知等の詳細は、</w:t>
      </w:r>
      <w:r w:rsidR="0043363C" w:rsidRPr="00941E57">
        <w:rPr>
          <w:rFonts w:ascii="ＭＳ ゴシック" w:eastAsia="ＭＳ ゴシック" w:hAnsi="ＭＳ ゴシック" w:cs="MS-Mincho" w:hint="eastAsia"/>
          <w:kern w:val="0"/>
          <w:szCs w:val="24"/>
        </w:rPr>
        <w:t>※を参照ください。</w:t>
      </w:r>
      <w:r w:rsidR="008468BB">
        <w:rPr>
          <w:rFonts w:ascii="ＭＳ ゴシック" w:eastAsia="ＭＳ ゴシック" w:hAnsi="ＭＳ ゴシック" w:cs="MS-Mincho" w:hint="eastAsia"/>
          <w:kern w:val="0"/>
          <w:szCs w:val="24"/>
          <w:u w:val="single"/>
        </w:rPr>
        <w:t>なお、</w:t>
      </w:r>
      <w:r w:rsidR="00A30508" w:rsidRPr="00D97120">
        <w:rPr>
          <w:rFonts w:ascii="ＭＳ ゴシック" w:eastAsia="ＭＳ ゴシック" w:hAnsi="ＭＳ ゴシック" w:cs="MS-Mincho" w:hint="eastAsia"/>
          <w:kern w:val="0"/>
          <w:szCs w:val="24"/>
          <w:u w:val="single"/>
        </w:rPr>
        <w:t>特例措置は</w:t>
      </w:r>
      <w:r w:rsidR="008468BB">
        <w:rPr>
          <w:rFonts w:ascii="ＭＳ ゴシック" w:eastAsia="ＭＳ ゴシック" w:hAnsi="ＭＳ ゴシック" w:cs="MS-Mincho" w:hint="eastAsia"/>
          <w:kern w:val="0"/>
          <w:szCs w:val="24"/>
          <w:u w:val="single"/>
        </w:rPr>
        <w:t>現に利用している</w:t>
      </w:r>
      <w:r w:rsidR="000778BB" w:rsidRPr="00D97120">
        <w:rPr>
          <w:rFonts w:ascii="ＭＳ ゴシック" w:eastAsia="ＭＳ ゴシック" w:hAnsi="ＭＳ ゴシック" w:cs="MS-Mincho" w:hint="eastAsia"/>
          <w:kern w:val="0"/>
          <w:szCs w:val="24"/>
          <w:u w:val="single"/>
        </w:rPr>
        <w:t>保険医療機関</w:t>
      </w:r>
      <w:r w:rsidR="00A30508" w:rsidRPr="00D97120">
        <w:rPr>
          <w:rFonts w:ascii="ＭＳ ゴシック" w:eastAsia="ＭＳ ゴシック" w:hAnsi="ＭＳ ゴシック" w:cs="MS-Mincho" w:hint="eastAsia"/>
          <w:kern w:val="0"/>
          <w:szCs w:val="24"/>
          <w:u w:val="single"/>
        </w:rPr>
        <w:t>のみ</w:t>
      </w:r>
      <w:r w:rsidR="00DD4F7D" w:rsidRPr="00D97120">
        <w:rPr>
          <w:rFonts w:ascii="ＭＳ ゴシック" w:eastAsia="ＭＳ ゴシック" w:hAnsi="ＭＳ ゴシック" w:cs="MS-Mincho" w:hint="eastAsia"/>
          <w:kern w:val="0"/>
          <w:szCs w:val="24"/>
          <w:u w:val="single"/>
        </w:rPr>
        <w:t>が</w:t>
      </w:r>
      <w:r w:rsidR="008468BB">
        <w:rPr>
          <w:rFonts w:ascii="ＭＳ ゴシック" w:eastAsia="ＭＳ ゴシック" w:hAnsi="ＭＳ ゴシック" w:cs="MS-Mincho" w:hint="eastAsia"/>
          <w:kern w:val="0"/>
          <w:szCs w:val="24"/>
          <w:u w:val="single"/>
        </w:rPr>
        <w:t>継続</w:t>
      </w:r>
      <w:r w:rsidR="00A30508" w:rsidRPr="00D97120">
        <w:rPr>
          <w:rFonts w:ascii="ＭＳ ゴシック" w:eastAsia="ＭＳ ゴシック" w:hAnsi="ＭＳ ゴシック" w:cs="MS-Mincho" w:hint="eastAsia"/>
          <w:kern w:val="0"/>
          <w:szCs w:val="24"/>
          <w:u w:val="single"/>
        </w:rPr>
        <w:t>利用可能です。</w:t>
      </w:r>
      <w:r w:rsidR="001A7911" w:rsidRPr="00941E57">
        <w:rPr>
          <w:rFonts w:ascii="ＭＳ ゴシック" w:eastAsia="ＭＳ ゴシック" w:hAnsi="ＭＳ ゴシック" w:cs="MS-Mincho" w:hint="eastAsia"/>
          <w:kern w:val="0"/>
          <w:szCs w:val="24"/>
        </w:rPr>
        <w:t>）</w:t>
      </w:r>
    </w:p>
    <w:tbl>
      <w:tblPr>
        <w:tblW w:w="1526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2268"/>
        <w:gridCol w:w="10341"/>
        <w:gridCol w:w="2126"/>
      </w:tblGrid>
      <w:tr w:rsidR="00365598" w:rsidRPr="004D2199" w:rsidTr="00471E84">
        <w:trPr>
          <w:trHeight w:val="397"/>
        </w:trPr>
        <w:tc>
          <w:tcPr>
            <w:tcW w:w="532"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p>
        </w:tc>
        <w:tc>
          <w:tcPr>
            <w:tcW w:w="2268"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p>
        </w:tc>
        <w:tc>
          <w:tcPr>
            <w:tcW w:w="10341"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r w:rsidRPr="00BA775E">
              <w:rPr>
                <w:rFonts w:ascii="ＭＳ Ｐゴシック" w:eastAsia="ＭＳ Ｐゴシック" w:hAnsi="ＭＳ Ｐゴシック" w:cs="MS-Mincho" w:hint="eastAsia"/>
                <w:kern w:val="0"/>
                <w:sz w:val="24"/>
                <w:szCs w:val="24"/>
              </w:rPr>
              <w:t>特例措置の概要</w:t>
            </w:r>
          </w:p>
        </w:tc>
        <w:tc>
          <w:tcPr>
            <w:tcW w:w="2126" w:type="dxa"/>
            <w:shd w:val="clear" w:color="auto" w:fill="auto"/>
            <w:vAlign w:val="center"/>
          </w:tcPr>
          <w:p w:rsidR="00365598" w:rsidRPr="00BA775E" w:rsidRDefault="00D51453" w:rsidP="00D51453">
            <w:pPr>
              <w:widowControl/>
              <w:jc w:val="center"/>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提出が必要な資料</w:t>
            </w:r>
          </w:p>
        </w:tc>
      </w:tr>
      <w:tr w:rsidR="00365598" w:rsidRPr="004D2199" w:rsidTr="00EB3B3A">
        <w:tc>
          <w:tcPr>
            <w:tcW w:w="532" w:type="dxa"/>
            <w:shd w:val="clear" w:color="auto" w:fill="BFBFBF" w:themeFill="background1" w:themeFillShade="BF"/>
          </w:tcPr>
          <w:p w:rsidR="005A69E7" w:rsidRPr="00FC36E7" w:rsidRDefault="005A69E7" w:rsidP="00E26E03">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１</w:t>
            </w:r>
          </w:p>
        </w:tc>
        <w:tc>
          <w:tcPr>
            <w:tcW w:w="2268" w:type="dxa"/>
            <w:shd w:val="clear" w:color="auto" w:fill="BFBFBF" w:themeFill="background1" w:themeFillShade="BF"/>
          </w:tcPr>
          <w:p w:rsidR="005A69E7" w:rsidRPr="00FC36E7" w:rsidRDefault="005A69E7" w:rsidP="00E26E03">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仮設の建物による保険診療等</w:t>
            </w:r>
          </w:p>
        </w:tc>
        <w:tc>
          <w:tcPr>
            <w:tcW w:w="10341" w:type="dxa"/>
            <w:shd w:val="clear" w:color="auto" w:fill="BFBFBF" w:themeFill="background1" w:themeFillShade="BF"/>
          </w:tcPr>
          <w:p w:rsidR="005A69E7" w:rsidRPr="00FC36E7" w:rsidRDefault="00EB3B3A" w:rsidP="00D40899">
            <w:pPr>
              <w:overflowPunct w:val="0"/>
              <w:adjustRightInd w:val="0"/>
              <w:snapToGrid w:val="0"/>
              <w:jc w:val="left"/>
              <w:textAlignment w:val="baseline"/>
              <w:rPr>
                <w:rFonts w:asciiTheme="minorEastAsia" w:eastAsiaTheme="minorEastAsia" w:hAnsiTheme="minorEastAsia"/>
                <w:sz w:val="22"/>
              </w:rPr>
            </w:pPr>
            <w:r w:rsidRPr="00FC36E7">
              <w:rPr>
                <w:rFonts w:asciiTheme="minorEastAsia" w:eastAsiaTheme="minorEastAsia" w:hAnsiTheme="minorEastAsia" w:cs="MS-Mincho" w:hint="eastAsia"/>
                <w:noProof/>
                <w:kern w:val="0"/>
                <w:sz w:val="22"/>
              </w:rPr>
              <mc:AlternateContent>
                <mc:Choice Requires="wps">
                  <w:drawing>
                    <wp:anchor distT="0" distB="0" distL="114300" distR="114300" simplePos="0" relativeHeight="251649536" behindDoc="0" locked="0" layoutInCell="1" allowOverlap="1" wp14:anchorId="4D8DFE6D" wp14:editId="5B666853">
                      <wp:simplePos x="0" y="0"/>
                      <wp:positionH relativeFrom="column">
                        <wp:posOffset>-1837690</wp:posOffset>
                      </wp:positionH>
                      <wp:positionV relativeFrom="paragraph">
                        <wp:posOffset>15240</wp:posOffset>
                      </wp:positionV>
                      <wp:extent cx="9686925" cy="533400"/>
                      <wp:effectExtent l="0" t="0" r="28575" b="19050"/>
                      <wp:wrapNone/>
                      <wp:docPr id="26" name="直線コネクタ 26"/>
                      <wp:cNvGraphicFramePr/>
                      <a:graphic xmlns:a="http://schemas.openxmlformats.org/drawingml/2006/main">
                        <a:graphicData uri="http://schemas.microsoft.com/office/word/2010/wordprocessingShape">
                          <wps:wsp>
                            <wps:cNvCnPr/>
                            <wps:spPr>
                              <a:xfrm>
                                <a:off x="0" y="0"/>
                                <a:ext cx="9686925" cy="53340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7DBF9D" id="直線コネクタ 26"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7pt,1.2pt" to="618.0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" strokecolor="windowText" strokeweight="1pt"/>
                  </w:pict>
                </mc:Fallback>
              </mc:AlternateContent>
            </w:r>
            <w:r w:rsidR="00C67AB4" w:rsidRPr="00FC36E7">
              <w:rPr>
                <w:rFonts w:asciiTheme="minorEastAsia" w:eastAsiaTheme="minorEastAsia" w:hAnsiTheme="minorEastAsia" w:hint="eastAsia"/>
                <w:sz w:val="22"/>
              </w:rPr>
              <w:t>保険医療機関の建物が浸水等したため、これに代替する仮設の建物等において、引き続き当該保険医療機関として保険診療等を実施できることとする。</w:t>
            </w:r>
            <w:r w:rsidR="002E59C1" w:rsidRPr="00FC36E7">
              <w:rPr>
                <w:rFonts w:asciiTheme="minorEastAsia" w:eastAsiaTheme="minorEastAsia" w:hAnsiTheme="minorEastAsia" w:hint="eastAsia"/>
                <w:sz w:val="22"/>
              </w:rPr>
              <w:t>（</w:t>
            </w:r>
            <w:r w:rsidR="005A69E7" w:rsidRPr="00FC36E7">
              <w:rPr>
                <w:rFonts w:asciiTheme="minorEastAsia" w:eastAsiaTheme="minorEastAsia" w:hAnsiTheme="minorEastAsia" w:hint="eastAsia"/>
                <w:sz w:val="22"/>
              </w:rPr>
              <w:t>平成</w:t>
            </w:r>
            <w:r w:rsidR="00C67AB4" w:rsidRPr="00FC36E7">
              <w:rPr>
                <w:rFonts w:asciiTheme="minorEastAsia" w:eastAsiaTheme="minorEastAsia" w:hAnsiTheme="minorEastAsia" w:hint="eastAsia"/>
                <w:sz w:val="22"/>
              </w:rPr>
              <w:t>30</w:t>
            </w:r>
            <w:r w:rsidR="005A69E7" w:rsidRPr="00FC36E7">
              <w:rPr>
                <w:rFonts w:asciiTheme="minorEastAsia" w:eastAsiaTheme="minorEastAsia" w:hAnsiTheme="minorEastAsia" w:hint="eastAsia"/>
                <w:sz w:val="22"/>
              </w:rPr>
              <w:t>年</w:t>
            </w:r>
            <w:r w:rsidR="00C67AB4" w:rsidRPr="00FC36E7">
              <w:rPr>
                <w:rFonts w:asciiTheme="minorEastAsia" w:eastAsiaTheme="minorEastAsia" w:hAnsiTheme="minorEastAsia" w:hint="eastAsia"/>
                <w:sz w:val="22"/>
              </w:rPr>
              <w:t>７</w:t>
            </w:r>
            <w:r w:rsidR="005A69E7" w:rsidRPr="00FC36E7">
              <w:rPr>
                <w:rFonts w:asciiTheme="minorEastAsia" w:eastAsiaTheme="minorEastAsia" w:hAnsiTheme="minorEastAsia" w:hint="eastAsia"/>
                <w:sz w:val="22"/>
              </w:rPr>
              <w:t>月</w:t>
            </w:r>
            <w:r w:rsidR="00C67AB4" w:rsidRPr="00FC36E7">
              <w:rPr>
                <w:rFonts w:asciiTheme="minorEastAsia" w:eastAsiaTheme="minorEastAsia" w:hAnsiTheme="minorEastAsia" w:hint="eastAsia"/>
                <w:sz w:val="22"/>
              </w:rPr>
              <w:t>９</w:t>
            </w:r>
            <w:r w:rsidR="002E59C1" w:rsidRPr="00FC36E7">
              <w:rPr>
                <w:rFonts w:asciiTheme="minorEastAsia" w:eastAsiaTheme="minorEastAsia" w:hAnsiTheme="minorEastAsia" w:hint="eastAsia"/>
                <w:sz w:val="22"/>
              </w:rPr>
              <w:t>日付け事務連絡）</w:t>
            </w:r>
            <w:r w:rsidR="005A69E7" w:rsidRPr="00FC36E7">
              <w:rPr>
                <w:rFonts w:asciiTheme="minorEastAsia" w:eastAsiaTheme="minorEastAsia" w:hAnsiTheme="minorEastAsia" w:hint="eastAsia"/>
                <w:sz w:val="22"/>
              </w:rPr>
              <w:t xml:space="preserve"> </w:t>
            </w:r>
          </w:p>
        </w:tc>
        <w:tc>
          <w:tcPr>
            <w:tcW w:w="2126" w:type="dxa"/>
            <w:shd w:val="clear" w:color="auto" w:fill="BFBFBF" w:themeFill="background1" w:themeFillShade="BF"/>
          </w:tcPr>
          <w:p w:rsidR="00FC36E7" w:rsidRPr="00FC36E7" w:rsidRDefault="00FC36E7" w:rsidP="00FC36E7">
            <w:pPr>
              <w:overflowPunct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・別紙１</w:t>
            </w:r>
          </w:p>
          <w:p w:rsidR="00574A5B" w:rsidRPr="00FC36E7" w:rsidRDefault="00FC36E7" w:rsidP="00FC36E7">
            <w:pPr>
              <w:widowControl/>
              <w:adjustRightInd w:val="0"/>
              <w:snapToGrid w:val="0"/>
              <w:jc w:val="left"/>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・全半壊等であることが分かる資料</w:t>
            </w:r>
          </w:p>
        </w:tc>
      </w:tr>
      <w:tr w:rsidR="00FC36E7" w:rsidRPr="007B1D15" w:rsidTr="00471E84">
        <w:tc>
          <w:tcPr>
            <w:tcW w:w="532" w:type="dxa"/>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２</w:t>
            </w:r>
          </w:p>
        </w:tc>
        <w:tc>
          <w:tcPr>
            <w:tcW w:w="2268" w:type="dxa"/>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定数超過入院</w:t>
            </w:r>
          </w:p>
        </w:tc>
        <w:tc>
          <w:tcPr>
            <w:tcW w:w="10341" w:type="dxa"/>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医療法上の許可病床数を超えて患者を入院させた場合でも、当面、入院基本料及び特定入院料の減額措置の対象としない。</w:t>
            </w:r>
            <w:r w:rsidRPr="00FC36E7">
              <w:rPr>
                <w:rFonts w:asciiTheme="minorEastAsia" w:eastAsiaTheme="minorEastAsia" w:hAnsiTheme="minorEastAsia" w:hint="eastAsia"/>
                <w:sz w:val="22"/>
              </w:rPr>
              <w:t>（平成30年７月９日付け事務連絡）</w:t>
            </w:r>
          </w:p>
        </w:tc>
        <w:tc>
          <w:tcPr>
            <w:tcW w:w="2126" w:type="dxa"/>
            <w:shd w:val="clear" w:color="auto" w:fill="auto"/>
          </w:tcPr>
          <w:p w:rsidR="00FC36E7" w:rsidRPr="00FC36E7" w:rsidRDefault="00FC36E7" w:rsidP="00FC36E7">
            <w:pPr>
              <w:overflowPunct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別紙１、２（有床診療所は別紙１、４）</w:t>
            </w:r>
          </w:p>
        </w:tc>
      </w:tr>
      <w:tr w:rsidR="00FC36E7" w:rsidRPr="004D2199" w:rsidTr="00EB3B3A">
        <w:tc>
          <w:tcPr>
            <w:tcW w:w="532"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３</w:t>
            </w:r>
          </w:p>
        </w:tc>
        <w:tc>
          <w:tcPr>
            <w:tcW w:w="2268"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月平均夜勤時間数（被災者受入の場合）</w:t>
            </w:r>
          </w:p>
        </w:tc>
        <w:tc>
          <w:tcPr>
            <w:tcW w:w="10341"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被災者を受け入れたことにより入院患者が一時的に急増等したため、入院基本料の施設基準のうち月平均夜勤時間数（７２時間以下）について、１割以上の一時的な変動があった場合においても、当面、変更の届出を不要とする。</w:t>
            </w:r>
            <w:r w:rsidRPr="00FC36E7">
              <w:rPr>
                <w:rFonts w:asciiTheme="minorEastAsia" w:eastAsiaTheme="minorEastAsia" w:hAnsiTheme="minorEastAsia" w:hint="eastAsia"/>
                <w:sz w:val="22"/>
              </w:rPr>
              <w:t>（平成30年７月９日付け事務連絡）</w:t>
            </w:r>
          </w:p>
        </w:tc>
        <w:tc>
          <w:tcPr>
            <w:tcW w:w="2126" w:type="dxa"/>
            <w:shd w:val="clear" w:color="auto" w:fill="auto"/>
          </w:tcPr>
          <w:p w:rsidR="00FC36E7" w:rsidRPr="00FC36E7" w:rsidRDefault="00FC36E7" w:rsidP="00FC36E7">
            <w:pPr>
              <w:widowControl/>
              <w:adjustRightInd w:val="0"/>
              <w:snapToGrid w:val="0"/>
              <w:jc w:val="left"/>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別紙１、２、10、11（有床診療所は別紙</w:t>
            </w:r>
            <w:r w:rsidR="007A7930" w:rsidRPr="00FC36E7">
              <w:rPr>
                <w:rFonts w:asciiTheme="minorEastAsia" w:eastAsiaTheme="minorEastAsia" w:hAnsiTheme="minorEastAsia" w:cs="MS-Mincho" w:hint="eastAsia"/>
                <w:kern w:val="0"/>
                <w:sz w:val="22"/>
              </w:rPr>
              <w:t>１、</w:t>
            </w:r>
            <w:r w:rsidR="007A7930">
              <w:rPr>
                <w:rFonts w:asciiTheme="minorEastAsia" w:eastAsiaTheme="minorEastAsia" w:hAnsiTheme="minorEastAsia" w:cs="MS-Mincho" w:hint="eastAsia"/>
                <w:kern w:val="0"/>
                <w:sz w:val="22"/>
              </w:rPr>
              <w:t>４</w:t>
            </w:r>
            <w:r w:rsidRPr="00FC36E7">
              <w:rPr>
                <w:rFonts w:asciiTheme="minorEastAsia" w:eastAsiaTheme="minorEastAsia" w:hAnsiTheme="minorEastAsia" w:cs="MS-Mincho" w:hint="eastAsia"/>
                <w:kern w:val="0"/>
                <w:sz w:val="22"/>
              </w:rPr>
              <w:t>、10の</w:t>
            </w:r>
            <w:r>
              <w:rPr>
                <w:rFonts w:asciiTheme="minorEastAsia" w:eastAsiaTheme="minorEastAsia" w:hAnsiTheme="minorEastAsia" w:cs="MS-Mincho" w:hint="eastAsia"/>
                <w:kern w:val="0"/>
                <w:sz w:val="22"/>
              </w:rPr>
              <w:t>２</w:t>
            </w:r>
            <w:r w:rsidRPr="00FC36E7">
              <w:rPr>
                <w:rFonts w:asciiTheme="minorEastAsia" w:eastAsiaTheme="minorEastAsia" w:hAnsiTheme="minorEastAsia" w:cs="MS-Mincho" w:hint="eastAsia"/>
                <w:kern w:val="0"/>
                <w:sz w:val="22"/>
              </w:rPr>
              <w:t>、11）</w:t>
            </w:r>
          </w:p>
        </w:tc>
      </w:tr>
      <w:tr w:rsidR="00FC36E7" w:rsidRPr="004D2199" w:rsidTr="00EB3B3A">
        <w:tc>
          <w:tcPr>
            <w:tcW w:w="532"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４</w:t>
            </w:r>
          </w:p>
        </w:tc>
        <w:tc>
          <w:tcPr>
            <w:tcW w:w="2268"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月平均夜勤時間数</w:t>
            </w:r>
          </w:p>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 xml:space="preserve">　　（被災地派遣の場合）</w:t>
            </w:r>
          </w:p>
        </w:tc>
        <w:tc>
          <w:tcPr>
            <w:tcW w:w="10341"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被災地に職員を派遣したことにより一時的に職員数が不足したため、入院基本料の施設基準のうち月平均夜勤時間数（７２時間以下）について、１割以上の一時的な変動があった場合においても、当面、変更の届出を不要とする。</w:t>
            </w:r>
            <w:r w:rsidRPr="00FC36E7">
              <w:rPr>
                <w:rFonts w:asciiTheme="minorEastAsia" w:eastAsiaTheme="minorEastAsia" w:hAnsiTheme="minorEastAsia" w:hint="eastAsia"/>
                <w:sz w:val="22"/>
              </w:rPr>
              <w:t>（平成30年７月９日付け事務連絡）</w:t>
            </w:r>
          </w:p>
        </w:tc>
        <w:tc>
          <w:tcPr>
            <w:tcW w:w="2126" w:type="dxa"/>
            <w:shd w:val="clear" w:color="auto" w:fill="BFBFBF" w:themeFill="background1" w:themeFillShade="BF"/>
          </w:tcPr>
          <w:p w:rsidR="00FC36E7" w:rsidRPr="00FC36E7" w:rsidRDefault="00FC36E7" w:rsidP="00FC36E7">
            <w:pPr>
              <w:widowControl/>
              <w:adjustRightInd w:val="0"/>
              <w:snapToGrid w:val="0"/>
              <w:jc w:val="left"/>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別紙１、２、10、11（有床診療所は別紙</w:t>
            </w:r>
            <w:r w:rsidR="007A7930">
              <w:rPr>
                <w:rFonts w:asciiTheme="minorEastAsia" w:eastAsiaTheme="minorEastAsia" w:hAnsiTheme="minorEastAsia" w:cs="MS-Mincho" w:hint="eastAsia"/>
                <w:kern w:val="0"/>
                <w:sz w:val="22"/>
              </w:rPr>
              <w:t>４</w:t>
            </w:r>
            <w:r w:rsidRPr="00FC36E7">
              <w:rPr>
                <w:rFonts w:asciiTheme="minorEastAsia" w:eastAsiaTheme="minorEastAsia" w:hAnsiTheme="minorEastAsia" w:cs="MS-Mincho" w:hint="eastAsia"/>
                <w:kern w:val="0"/>
                <w:sz w:val="22"/>
              </w:rPr>
              <w:t>、10の</w:t>
            </w:r>
            <w:r w:rsidR="007A7930">
              <w:rPr>
                <w:rFonts w:asciiTheme="minorEastAsia" w:eastAsiaTheme="minorEastAsia" w:hAnsiTheme="minorEastAsia" w:cs="MS-Mincho" w:hint="eastAsia"/>
                <w:kern w:val="0"/>
                <w:sz w:val="22"/>
              </w:rPr>
              <w:t>２</w:t>
            </w:r>
            <w:r w:rsidRPr="00FC36E7">
              <w:rPr>
                <w:rFonts w:asciiTheme="minorEastAsia" w:eastAsiaTheme="minorEastAsia" w:hAnsiTheme="minorEastAsia" w:cs="MS-Mincho" w:hint="eastAsia"/>
                <w:kern w:val="0"/>
                <w:sz w:val="22"/>
              </w:rPr>
              <w:t>、11）</w:t>
            </w:r>
          </w:p>
        </w:tc>
      </w:tr>
      <w:tr w:rsidR="00FC36E7" w:rsidRPr="004D2199" w:rsidTr="00EB3B3A">
        <w:tc>
          <w:tcPr>
            <w:tcW w:w="532"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５</w:t>
            </w:r>
          </w:p>
        </w:tc>
        <w:tc>
          <w:tcPr>
            <w:tcW w:w="2268"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看護配置（被災者受入の場合）</w:t>
            </w:r>
          </w:p>
          <w:p w:rsidR="00FC36E7" w:rsidRPr="00FC36E7" w:rsidRDefault="00FC36E7" w:rsidP="00FC36E7">
            <w:pPr>
              <w:overflowPunct w:val="0"/>
              <w:adjustRightInd w:val="0"/>
              <w:snapToGrid w:val="0"/>
              <w:ind w:left="220" w:hangingChars="100" w:hanging="220"/>
              <w:jc w:val="left"/>
              <w:textAlignment w:val="baseline"/>
              <w:rPr>
                <w:rFonts w:asciiTheme="minorEastAsia" w:eastAsiaTheme="minorEastAsia" w:hAnsiTheme="minorEastAsia" w:cs="MS-Mincho"/>
                <w:kern w:val="0"/>
                <w:sz w:val="22"/>
              </w:rPr>
            </w:pPr>
          </w:p>
        </w:tc>
        <w:tc>
          <w:tcPr>
            <w:tcW w:w="10341"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被災者を受け入れたことにより入院患者が一時的に急増等したため、１日当たり勤務する看護師及び准看護師又は看護補助者（以下「看護要員」という。）の数、看護要員の数と入院患者の比率並びに看護師及び准看護師の数に対する看護師の比率について、１割以上の一時的な変動があった場合においても、当面、変更の届出を不要とする。</w:t>
            </w:r>
            <w:r w:rsidRPr="00FC36E7">
              <w:rPr>
                <w:rFonts w:asciiTheme="minorEastAsia" w:eastAsiaTheme="minorEastAsia" w:hAnsiTheme="minorEastAsia" w:hint="eastAsia"/>
                <w:sz w:val="22"/>
              </w:rPr>
              <w:t>（平成30年７月９日付け事務連絡）</w:t>
            </w:r>
          </w:p>
        </w:tc>
        <w:tc>
          <w:tcPr>
            <w:tcW w:w="2126" w:type="dxa"/>
            <w:shd w:val="clear" w:color="auto" w:fill="auto"/>
          </w:tcPr>
          <w:p w:rsidR="00FC36E7" w:rsidRPr="00FC36E7" w:rsidRDefault="00FC36E7" w:rsidP="00FC36E7">
            <w:pPr>
              <w:overflowPunct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別紙１、２、10、11</w:t>
            </w:r>
          </w:p>
          <w:p w:rsidR="00FC36E7" w:rsidRPr="00FC36E7" w:rsidRDefault="00FC36E7" w:rsidP="00FC36E7">
            <w:pPr>
              <w:widowControl/>
              <w:adjustRightInd w:val="0"/>
              <w:snapToGrid w:val="0"/>
              <w:jc w:val="left"/>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（有床診療所は別紙１、４、10の</w:t>
            </w:r>
            <w:r>
              <w:rPr>
                <w:rFonts w:asciiTheme="minorEastAsia" w:eastAsiaTheme="minorEastAsia" w:hAnsiTheme="minorEastAsia" w:cs="MS-Mincho" w:hint="eastAsia"/>
                <w:kern w:val="0"/>
                <w:sz w:val="22"/>
              </w:rPr>
              <w:t>２</w:t>
            </w:r>
            <w:r w:rsidRPr="00FC36E7">
              <w:rPr>
                <w:rFonts w:asciiTheme="minorEastAsia" w:eastAsiaTheme="minorEastAsia" w:hAnsiTheme="minorEastAsia" w:cs="MS-Mincho" w:hint="eastAsia"/>
                <w:kern w:val="0"/>
                <w:sz w:val="22"/>
              </w:rPr>
              <w:t>、11）</w:t>
            </w:r>
          </w:p>
        </w:tc>
      </w:tr>
      <w:tr w:rsidR="00FC36E7" w:rsidRPr="004D2199" w:rsidTr="00EB3B3A">
        <w:tc>
          <w:tcPr>
            <w:tcW w:w="532"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６</w:t>
            </w:r>
          </w:p>
        </w:tc>
        <w:tc>
          <w:tcPr>
            <w:tcW w:w="2268"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看護配置（被災地派遣の場合）</w:t>
            </w:r>
          </w:p>
        </w:tc>
        <w:tc>
          <w:tcPr>
            <w:tcW w:w="10341"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被災地に職員を派遣したことにより職員が一時的に不足したため、１日当たり勤務する看護師及び准看護師又は看護補助者（以下「看護要員」という。）の数、看護要員の数と入院患者の比率並びに看護師及び准看護師の数に対する看護師の比率について、１割以上の一時的な変動があった場合においても、当面、変更の届出を不要とする。</w:t>
            </w:r>
            <w:r w:rsidRPr="00FC36E7">
              <w:rPr>
                <w:rFonts w:asciiTheme="minorEastAsia" w:eastAsiaTheme="minorEastAsia" w:hAnsiTheme="minorEastAsia" w:hint="eastAsia"/>
                <w:sz w:val="22"/>
              </w:rPr>
              <w:t>（平成30年７月９日付け事務連絡）</w:t>
            </w:r>
          </w:p>
        </w:tc>
        <w:tc>
          <w:tcPr>
            <w:tcW w:w="2126" w:type="dxa"/>
            <w:shd w:val="clear" w:color="auto" w:fill="auto"/>
          </w:tcPr>
          <w:p w:rsidR="00FC36E7" w:rsidRPr="00FC36E7" w:rsidRDefault="00FC36E7" w:rsidP="00FC36E7">
            <w:pPr>
              <w:overflowPunct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別紙１、２、10、11</w:t>
            </w:r>
          </w:p>
          <w:p w:rsidR="00FC36E7" w:rsidRPr="00FC36E7" w:rsidRDefault="00FC36E7" w:rsidP="00FC36E7">
            <w:pPr>
              <w:widowControl/>
              <w:adjustRightInd w:val="0"/>
              <w:snapToGrid w:val="0"/>
              <w:jc w:val="left"/>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（有床診療所は別紙１、４、10の</w:t>
            </w:r>
            <w:r>
              <w:rPr>
                <w:rFonts w:asciiTheme="minorEastAsia" w:eastAsiaTheme="minorEastAsia" w:hAnsiTheme="minorEastAsia" w:cs="MS-Mincho" w:hint="eastAsia"/>
                <w:kern w:val="0"/>
                <w:sz w:val="22"/>
              </w:rPr>
              <w:t>２</w:t>
            </w:r>
            <w:r w:rsidRPr="00FC36E7">
              <w:rPr>
                <w:rFonts w:asciiTheme="minorEastAsia" w:eastAsiaTheme="minorEastAsia" w:hAnsiTheme="minorEastAsia" w:cs="MS-Mincho" w:hint="eastAsia"/>
                <w:kern w:val="0"/>
                <w:sz w:val="22"/>
              </w:rPr>
              <w:t>、11）</w:t>
            </w:r>
          </w:p>
        </w:tc>
      </w:tr>
      <w:tr w:rsidR="00FC36E7" w:rsidRPr="004D2199" w:rsidTr="00EB3B3A">
        <w:tc>
          <w:tcPr>
            <w:tcW w:w="532"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７</w:t>
            </w:r>
          </w:p>
        </w:tc>
        <w:tc>
          <w:tcPr>
            <w:tcW w:w="2268"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病棟以外への入院</w:t>
            </w:r>
          </w:p>
        </w:tc>
        <w:tc>
          <w:tcPr>
            <w:tcW w:w="10341"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sz w:val="22"/>
              </w:rPr>
            </w:pPr>
            <w:r w:rsidRPr="00FC36E7">
              <w:rPr>
                <w:rFonts w:asciiTheme="minorEastAsia" w:eastAsiaTheme="minorEastAsia" w:hAnsiTheme="minorEastAsia" w:cs="MS-Mincho" w:hint="eastAsia"/>
                <w:kern w:val="0"/>
                <w:sz w:val="22"/>
              </w:rPr>
              <w:t>被災地の保険医療機関において、会議室等の病棟以外の場所に患者を入院させた場合、特例として、その保険医療機関が届出を行っている入院基本料のうち、当該患者が本来入院するべき病棟の入院基本料を算定する。</w:t>
            </w:r>
            <w:r w:rsidRPr="00FC36E7">
              <w:rPr>
                <w:rFonts w:asciiTheme="minorEastAsia" w:eastAsiaTheme="minorEastAsia" w:hAnsiTheme="minorEastAsia" w:hint="eastAsia"/>
                <w:sz w:val="22"/>
              </w:rPr>
              <w:t>（平成30年７月９日付け事務連絡）</w:t>
            </w:r>
          </w:p>
        </w:tc>
        <w:tc>
          <w:tcPr>
            <w:tcW w:w="2126" w:type="dxa"/>
            <w:shd w:val="clear" w:color="auto" w:fill="auto"/>
          </w:tcPr>
          <w:p w:rsidR="00FC36E7" w:rsidRPr="00FC36E7" w:rsidRDefault="00FC36E7" w:rsidP="00FC36E7">
            <w:pPr>
              <w:overflowPunct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別紙１、２、５</w:t>
            </w:r>
          </w:p>
          <w:p w:rsidR="00FC36E7" w:rsidRPr="00FC36E7" w:rsidRDefault="00FC36E7" w:rsidP="00FC36E7">
            <w:pPr>
              <w:overflowPunct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（有床診療所は別紙１、４、５）</w:t>
            </w:r>
          </w:p>
        </w:tc>
      </w:tr>
      <w:tr w:rsidR="00FC36E7" w:rsidRPr="004D2199" w:rsidTr="00EB3B3A">
        <w:tc>
          <w:tcPr>
            <w:tcW w:w="532"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８</w:t>
            </w:r>
          </w:p>
        </w:tc>
        <w:tc>
          <w:tcPr>
            <w:tcW w:w="2268"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noProof/>
                <w:kern w:val="0"/>
                <w:sz w:val="22"/>
              </w:rPr>
              <mc:AlternateContent>
                <mc:Choice Requires="wps">
                  <w:drawing>
                    <wp:anchor distT="0" distB="0" distL="114300" distR="114300" simplePos="0" relativeHeight="251662848" behindDoc="0" locked="0" layoutInCell="1" allowOverlap="1" wp14:anchorId="07C144CE" wp14:editId="1C795A8B">
                      <wp:simplePos x="0" y="0"/>
                      <wp:positionH relativeFrom="column">
                        <wp:posOffset>-397510</wp:posOffset>
                      </wp:positionH>
                      <wp:positionV relativeFrom="paragraph">
                        <wp:posOffset>-7620</wp:posOffset>
                      </wp:positionV>
                      <wp:extent cx="9686925" cy="552450"/>
                      <wp:effectExtent l="0" t="0" r="28575" b="19050"/>
                      <wp:wrapNone/>
                      <wp:docPr id="14" name="直線コネクタ 14"/>
                      <wp:cNvGraphicFramePr/>
                      <a:graphic xmlns:a="http://schemas.openxmlformats.org/drawingml/2006/main">
                        <a:graphicData uri="http://schemas.microsoft.com/office/word/2010/wordprocessingShape">
                          <wps:wsp>
                            <wps:cNvCnPr/>
                            <wps:spPr>
                              <a:xfrm>
                                <a:off x="0" y="0"/>
                                <a:ext cx="9686925" cy="55245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1F7722" id="直線コネクタ 14"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pt,-.6pt" to="731.4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" strokecolor="windowText" strokeweight="1pt"/>
                  </w:pict>
                </mc:Fallback>
              </mc:AlternateContent>
            </w:r>
            <w:r w:rsidRPr="00FC36E7">
              <w:rPr>
                <w:rFonts w:asciiTheme="minorEastAsia" w:eastAsiaTheme="minorEastAsia" w:hAnsiTheme="minorEastAsia" w:cs="MS-Mincho" w:hint="eastAsia"/>
                <w:kern w:val="0"/>
                <w:sz w:val="22"/>
              </w:rPr>
              <w:t>他の病棟への入院</w:t>
            </w:r>
          </w:p>
          <w:p w:rsidR="00FC36E7" w:rsidRPr="00FC36E7" w:rsidRDefault="00FC36E7" w:rsidP="00FC36E7">
            <w:pPr>
              <w:overflowPunct w:val="0"/>
              <w:adjustRightInd w:val="0"/>
              <w:snapToGrid w:val="0"/>
              <w:ind w:left="220" w:hangingChars="100" w:hanging="22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 xml:space="preserve">　　（被災地）</w:t>
            </w:r>
          </w:p>
        </w:tc>
        <w:tc>
          <w:tcPr>
            <w:tcW w:w="10341"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被災地及び被災地以外の保険医療機関において、医療法上本来入院できない病棟に入院させた場合や、診療報酬上、その病棟の施設基準の要件を満たさない患者を入院させた場合における特例的な入院基本料の算定を可能とする。</w:t>
            </w:r>
            <w:r w:rsidRPr="00FC36E7">
              <w:rPr>
                <w:rFonts w:asciiTheme="minorEastAsia" w:eastAsiaTheme="minorEastAsia" w:hAnsiTheme="minorEastAsia" w:hint="eastAsia"/>
                <w:sz w:val="22"/>
              </w:rPr>
              <w:t>（平成30年７月９日付け事務連絡）</w:t>
            </w:r>
          </w:p>
        </w:tc>
        <w:tc>
          <w:tcPr>
            <w:tcW w:w="2126" w:type="dxa"/>
            <w:shd w:val="clear" w:color="auto" w:fill="BFBFBF" w:themeFill="background1" w:themeFillShade="BF"/>
          </w:tcPr>
          <w:p w:rsidR="00FC36E7" w:rsidRPr="00FC36E7" w:rsidRDefault="00FC36E7" w:rsidP="00FC36E7">
            <w:pPr>
              <w:overflowPunct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別紙１、２、５</w:t>
            </w:r>
          </w:p>
          <w:p w:rsidR="00FC36E7" w:rsidRPr="00FC36E7" w:rsidRDefault="00FC36E7" w:rsidP="00FC36E7">
            <w:pPr>
              <w:widowControl/>
              <w:adjustRightInd w:val="0"/>
              <w:snapToGrid w:val="0"/>
              <w:jc w:val="left"/>
              <w:rPr>
                <w:rFonts w:asciiTheme="minorEastAsia" w:eastAsiaTheme="minorEastAsia" w:hAnsiTheme="minorEastAsia" w:cs="MS-Mincho"/>
                <w:dstrike/>
                <w:kern w:val="0"/>
                <w:sz w:val="22"/>
              </w:rPr>
            </w:pPr>
            <w:r w:rsidRPr="00FC36E7">
              <w:rPr>
                <w:rFonts w:asciiTheme="minorEastAsia" w:eastAsiaTheme="minorEastAsia" w:hAnsiTheme="minorEastAsia" w:cs="MS-Mincho" w:hint="eastAsia"/>
                <w:kern w:val="0"/>
                <w:sz w:val="22"/>
              </w:rPr>
              <w:t>（有床診療所は別紙１、４、５）</w:t>
            </w:r>
          </w:p>
        </w:tc>
      </w:tr>
      <w:tr w:rsidR="00FC36E7" w:rsidRPr="004D2199" w:rsidTr="00EB3B3A">
        <w:tc>
          <w:tcPr>
            <w:tcW w:w="532"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９</w:t>
            </w:r>
          </w:p>
        </w:tc>
        <w:tc>
          <w:tcPr>
            <w:tcW w:w="2268"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noProof/>
                <w:kern w:val="0"/>
                <w:sz w:val="22"/>
              </w:rPr>
              <mc:AlternateContent>
                <mc:Choice Requires="wps">
                  <w:drawing>
                    <wp:anchor distT="0" distB="0" distL="114300" distR="114300" simplePos="0" relativeHeight="251664896" behindDoc="0" locked="0" layoutInCell="1" allowOverlap="1" wp14:anchorId="769359D0" wp14:editId="0DE9802B">
                      <wp:simplePos x="0" y="0"/>
                      <wp:positionH relativeFrom="column">
                        <wp:posOffset>-393065</wp:posOffset>
                      </wp:positionH>
                      <wp:positionV relativeFrom="paragraph">
                        <wp:posOffset>-3175</wp:posOffset>
                      </wp:positionV>
                      <wp:extent cx="9686925" cy="552450"/>
                      <wp:effectExtent l="0" t="0" r="28575" b="19050"/>
                      <wp:wrapNone/>
                      <wp:docPr id="28" name="直線コネクタ 28"/>
                      <wp:cNvGraphicFramePr/>
                      <a:graphic xmlns:a="http://schemas.openxmlformats.org/drawingml/2006/main">
                        <a:graphicData uri="http://schemas.microsoft.com/office/word/2010/wordprocessingShape">
                          <wps:wsp>
                            <wps:cNvCnPr/>
                            <wps:spPr>
                              <a:xfrm>
                                <a:off x="0" y="0"/>
                                <a:ext cx="9686925" cy="55245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3D8971" id="直線コネクタ 28"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5pt,-.25pt" to="731.8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" strokecolor="windowText" strokeweight="1pt"/>
                  </w:pict>
                </mc:Fallback>
              </mc:AlternateContent>
            </w:r>
            <w:r w:rsidRPr="00FC36E7">
              <w:rPr>
                <w:rFonts w:asciiTheme="minorEastAsia" w:eastAsiaTheme="minorEastAsia" w:hAnsiTheme="minorEastAsia" w:cs="MS-Mincho" w:hint="eastAsia"/>
                <w:kern w:val="0"/>
                <w:sz w:val="22"/>
              </w:rPr>
              <w:t>平均在院日数</w:t>
            </w:r>
          </w:p>
        </w:tc>
        <w:tc>
          <w:tcPr>
            <w:tcW w:w="10341"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被災地の保険医療機関において、平均在院日数が入院基本料等の施設基準を満たさなくなった場合に</w:t>
            </w:r>
            <w:r w:rsidRPr="00FC36E7">
              <w:rPr>
                <w:rFonts w:asciiTheme="minorEastAsia" w:eastAsiaTheme="minorEastAsia" w:hAnsiTheme="minorEastAsia" w:cs="MS-Mincho" w:hint="eastAsia"/>
                <w:kern w:val="0"/>
                <w:sz w:val="22"/>
              </w:rPr>
              <w:lastRenderedPageBreak/>
              <w:t>も、特例的に従来の入院基本料等を算定する。</w:t>
            </w:r>
            <w:r w:rsidRPr="00FC36E7">
              <w:rPr>
                <w:rFonts w:asciiTheme="minorEastAsia" w:eastAsiaTheme="minorEastAsia" w:hAnsiTheme="minorEastAsia" w:hint="eastAsia"/>
                <w:sz w:val="22"/>
              </w:rPr>
              <w:t>（平成30年７月９日付け事務連絡）</w:t>
            </w:r>
          </w:p>
        </w:tc>
        <w:tc>
          <w:tcPr>
            <w:tcW w:w="2126" w:type="dxa"/>
            <w:shd w:val="clear" w:color="auto" w:fill="BFBFBF" w:themeFill="background1" w:themeFillShade="BF"/>
          </w:tcPr>
          <w:p w:rsidR="00FC36E7" w:rsidRPr="00FC36E7" w:rsidRDefault="00FC36E7" w:rsidP="00FC36E7">
            <w:pPr>
              <w:overflowPunct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lastRenderedPageBreak/>
              <w:t>別紙１、２</w:t>
            </w:r>
          </w:p>
          <w:p w:rsidR="00FC36E7" w:rsidRPr="00FC36E7" w:rsidRDefault="00FC36E7" w:rsidP="00FC36E7">
            <w:pPr>
              <w:widowControl/>
              <w:adjustRightInd w:val="0"/>
              <w:snapToGrid w:val="0"/>
              <w:jc w:val="left"/>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lastRenderedPageBreak/>
              <w:t>（有床診療所は別紙１、４）</w:t>
            </w:r>
          </w:p>
        </w:tc>
      </w:tr>
      <w:tr w:rsidR="00FC36E7" w:rsidRPr="004D2199" w:rsidTr="00EB3B3A">
        <w:tc>
          <w:tcPr>
            <w:tcW w:w="532"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lastRenderedPageBreak/>
              <w:t>10</w:t>
            </w:r>
          </w:p>
        </w:tc>
        <w:tc>
          <w:tcPr>
            <w:tcW w:w="2268"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noProof/>
                <w:kern w:val="0"/>
                <w:sz w:val="22"/>
              </w:rPr>
              <mc:AlternateContent>
                <mc:Choice Requires="wps">
                  <w:drawing>
                    <wp:anchor distT="0" distB="0" distL="114300" distR="114300" simplePos="0" relativeHeight="251666944" behindDoc="0" locked="0" layoutInCell="1" allowOverlap="1" wp14:anchorId="51E6B1FC" wp14:editId="1A46EB83">
                      <wp:simplePos x="0" y="0"/>
                      <wp:positionH relativeFrom="column">
                        <wp:posOffset>-397510</wp:posOffset>
                      </wp:positionH>
                      <wp:positionV relativeFrom="paragraph">
                        <wp:posOffset>-2539</wp:posOffset>
                      </wp:positionV>
                      <wp:extent cx="9686925" cy="361950"/>
                      <wp:effectExtent l="0" t="0" r="28575" b="19050"/>
                      <wp:wrapNone/>
                      <wp:docPr id="29" name="直線コネクタ 29"/>
                      <wp:cNvGraphicFramePr/>
                      <a:graphic xmlns:a="http://schemas.openxmlformats.org/drawingml/2006/main">
                        <a:graphicData uri="http://schemas.microsoft.com/office/word/2010/wordprocessingShape">
                          <wps:wsp>
                            <wps:cNvCnPr/>
                            <wps:spPr>
                              <a:xfrm>
                                <a:off x="0" y="0"/>
                                <a:ext cx="9686925" cy="36195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6D79DF" id="直線コネクタ 29"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pt,-.2pt" to="731.4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" strokecolor="windowText" strokeweight="1pt"/>
                  </w:pict>
                </mc:Fallback>
              </mc:AlternateContent>
            </w:r>
            <w:r w:rsidRPr="00FC36E7">
              <w:rPr>
                <w:rFonts w:asciiTheme="minorEastAsia" w:eastAsiaTheme="minorEastAsia" w:hAnsiTheme="minorEastAsia" w:cs="MS-Mincho" w:hint="eastAsia"/>
                <w:kern w:val="0"/>
                <w:sz w:val="22"/>
              </w:rPr>
              <w:t>平均在院日数</w:t>
            </w:r>
          </w:p>
        </w:tc>
        <w:tc>
          <w:tcPr>
            <w:tcW w:w="10341"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被災地以外の保険医療機関において、被災地の医療機関から転院の受け入れを行った場合には、当該患者を除いて平均在院日数を計算する。</w:t>
            </w:r>
            <w:r w:rsidRPr="00FC36E7">
              <w:rPr>
                <w:rFonts w:asciiTheme="minorEastAsia" w:eastAsiaTheme="minorEastAsia" w:hAnsiTheme="minorEastAsia" w:hint="eastAsia"/>
                <w:sz w:val="22"/>
              </w:rPr>
              <w:t>（平成30年７月９日付け事務連絡）</w:t>
            </w:r>
          </w:p>
        </w:tc>
        <w:tc>
          <w:tcPr>
            <w:tcW w:w="2126" w:type="dxa"/>
            <w:shd w:val="clear" w:color="auto" w:fill="BFBFBF" w:themeFill="background1" w:themeFillShade="BF"/>
          </w:tcPr>
          <w:p w:rsidR="00FC36E7" w:rsidRPr="00FC36E7" w:rsidRDefault="00FC36E7" w:rsidP="00FC36E7">
            <w:pPr>
              <w:overflowPunct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別紙１、２</w:t>
            </w:r>
          </w:p>
          <w:p w:rsidR="00FC36E7" w:rsidRPr="00FC36E7" w:rsidRDefault="00FC36E7" w:rsidP="00FC36E7">
            <w:pPr>
              <w:widowControl/>
              <w:adjustRightInd w:val="0"/>
              <w:snapToGrid w:val="0"/>
              <w:jc w:val="left"/>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（有床診療所は別紙１、４）</w:t>
            </w:r>
          </w:p>
        </w:tc>
      </w:tr>
      <w:tr w:rsidR="00FC36E7" w:rsidRPr="004D2199" w:rsidTr="00EB3B3A">
        <w:tc>
          <w:tcPr>
            <w:tcW w:w="532"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11</w:t>
            </w:r>
          </w:p>
        </w:tc>
        <w:tc>
          <w:tcPr>
            <w:tcW w:w="2268"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特定入院料の取扱い</w:t>
            </w:r>
          </w:p>
        </w:tc>
        <w:tc>
          <w:tcPr>
            <w:tcW w:w="10341"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被災地及び被災地以外の保険医療機関において、災害等やむを得ない事情により、特定入院料の届出を行っている病棟に診療報酬上の要件を満たさない状態の患者が入院した場合には、当該患者を除いて施設基準の要件を満たすか否かを判断することができる。</w:t>
            </w:r>
            <w:r w:rsidRPr="00FC36E7">
              <w:rPr>
                <w:rFonts w:asciiTheme="minorEastAsia" w:eastAsiaTheme="minorEastAsia" w:hAnsiTheme="minorEastAsia" w:hint="eastAsia"/>
                <w:sz w:val="22"/>
              </w:rPr>
              <w:t>（平成30年７月９日付け事務連絡）</w:t>
            </w:r>
          </w:p>
        </w:tc>
        <w:tc>
          <w:tcPr>
            <w:tcW w:w="2126" w:type="dxa"/>
            <w:shd w:val="clear" w:color="auto" w:fill="auto"/>
          </w:tcPr>
          <w:p w:rsidR="00FC36E7" w:rsidRPr="00FC36E7" w:rsidRDefault="00FC36E7" w:rsidP="00FC36E7">
            <w:pPr>
              <w:overflowPunct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別紙１、２、５</w:t>
            </w:r>
          </w:p>
          <w:p w:rsidR="00FC36E7" w:rsidRPr="00FC36E7" w:rsidRDefault="00FC36E7" w:rsidP="00FC36E7">
            <w:pPr>
              <w:widowControl/>
              <w:adjustRightInd w:val="0"/>
              <w:snapToGrid w:val="0"/>
              <w:jc w:val="left"/>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（有床診療所は別紙１、４、５）</w:t>
            </w:r>
          </w:p>
        </w:tc>
      </w:tr>
      <w:tr w:rsidR="00FC36E7" w:rsidRPr="004D2199" w:rsidTr="00EB3B3A">
        <w:tc>
          <w:tcPr>
            <w:tcW w:w="532"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12</w:t>
            </w:r>
          </w:p>
        </w:tc>
        <w:tc>
          <w:tcPr>
            <w:tcW w:w="2268"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転院受け入れの場合の入院日</w:t>
            </w:r>
          </w:p>
        </w:tc>
        <w:tc>
          <w:tcPr>
            <w:tcW w:w="10341"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被災地及び被災地以外の保険医療機関において、被災地の他の保険医療機関が災害等の事情により診療の継続が困難となり、当該他の保険医療機関から転院の受け入れを行った場合に、特別の関係にあるか否かに関わらず、当該保険医療機関に入院した日を入院の日とする。</w:t>
            </w:r>
            <w:r w:rsidRPr="00FC36E7">
              <w:rPr>
                <w:rFonts w:asciiTheme="minorEastAsia" w:eastAsiaTheme="minorEastAsia" w:hAnsiTheme="minorEastAsia" w:hint="eastAsia"/>
                <w:sz w:val="22"/>
              </w:rPr>
              <w:t>（平成30年７月９日付け事務連絡）</w:t>
            </w:r>
          </w:p>
        </w:tc>
        <w:tc>
          <w:tcPr>
            <w:tcW w:w="2126" w:type="dxa"/>
            <w:shd w:val="clear" w:color="auto" w:fill="auto"/>
          </w:tcPr>
          <w:p w:rsidR="00FC36E7" w:rsidRPr="00FC36E7" w:rsidRDefault="00FC36E7" w:rsidP="00FC36E7">
            <w:pPr>
              <w:widowControl/>
              <w:adjustRightInd w:val="0"/>
              <w:snapToGrid w:val="0"/>
              <w:jc w:val="left"/>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w:t>
            </w:r>
            <w:r w:rsidR="007A7930">
              <w:rPr>
                <w:rFonts w:asciiTheme="minorEastAsia" w:eastAsiaTheme="minorEastAsia" w:hAnsiTheme="minorEastAsia" w:cs="MS-Mincho" w:hint="eastAsia"/>
                <w:kern w:val="0"/>
                <w:sz w:val="22"/>
              </w:rPr>
              <w:t>１</w:t>
            </w:r>
          </w:p>
        </w:tc>
      </w:tr>
      <w:tr w:rsidR="00FC36E7" w:rsidRPr="004D2199" w:rsidTr="00EB3B3A">
        <w:tc>
          <w:tcPr>
            <w:tcW w:w="532"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13</w:t>
            </w:r>
          </w:p>
        </w:tc>
        <w:tc>
          <w:tcPr>
            <w:tcW w:w="2268"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透析に関する他医療機関受診</w:t>
            </w:r>
          </w:p>
        </w:tc>
        <w:tc>
          <w:tcPr>
            <w:tcW w:w="10341" w:type="dxa"/>
            <w:shd w:val="clear" w:color="auto" w:fill="BFBFBF" w:themeFill="background1" w:themeFillShade="BF"/>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noProof/>
                <w:kern w:val="0"/>
                <w:sz w:val="22"/>
              </w:rPr>
              <mc:AlternateContent>
                <mc:Choice Requires="wps">
                  <w:drawing>
                    <wp:anchor distT="0" distB="0" distL="114300" distR="114300" simplePos="0" relativeHeight="251668992" behindDoc="0" locked="0" layoutInCell="1" allowOverlap="1" wp14:anchorId="2DC5C7B3" wp14:editId="178ADFF8">
                      <wp:simplePos x="0" y="0"/>
                      <wp:positionH relativeFrom="column">
                        <wp:posOffset>-1837690</wp:posOffset>
                      </wp:positionH>
                      <wp:positionV relativeFrom="paragraph">
                        <wp:posOffset>4445</wp:posOffset>
                      </wp:positionV>
                      <wp:extent cx="9686925" cy="552450"/>
                      <wp:effectExtent l="0" t="0" r="28575" b="19050"/>
                      <wp:wrapNone/>
                      <wp:docPr id="30" name="直線コネクタ 30"/>
                      <wp:cNvGraphicFramePr/>
                      <a:graphic xmlns:a="http://schemas.openxmlformats.org/drawingml/2006/main">
                        <a:graphicData uri="http://schemas.microsoft.com/office/word/2010/wordprocessingShape">
                          <wps:wsp>
                            <wps:cNvCnPr/>
                            <wps:spPr>
                              <a:xfrm>
                                <a:off x="0" y="0"/>
                                <a:ext cx="9686925" cy="55245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BACAE2" id="直線コネクタ 30"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7pt,.35pt" to="618.05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" strokecolor="windowText" strokeweight="1pt"/>
                  </w:pict>
                </mc:Fallback>
              </mc:AlternateContent>
            </w:r>
            <w:r w:rsidRPr="00FC36E7">
              <w:rPr>
                <w:rFonts w:asciiTheme="minorEastAsia" w:eastAsiaTheme="minorEastAsia" w:hAnsiTheme="minorEastAsia" w:cs="MS-Mincho" w:hint="eastAsia"/>
                <w:kern w:val="0"/>
                <w:sz w:val="22"/>
              </w:rPr>
              <w:t>被災地及び被災地以外の保険医療機関から慢性透析患者を受け入れた場合や、被災により透析設備が使用不可能となった場合に、特例的に、透析を目的とした他医療機関受診の際の入院料の控除を行わない。</w:t>
            </w:r>
            <w:r w:rsidRPr="00FC36E7">
              <w:rPr>
                <w:rFonts w:asciiTheme="minorEastAsia" w:eastAsiaTheme="minorEastAsia" w:hAnsiTheme="minorEastAsia" w:hint="eastAsia"/>
                <w:sz w:val="22"/>
              </w:rPr>
              <w:t>（平成30年７月９日付け事務連絡）</w:t>
            </w:r>
          </w:p>
        </w:tc>
        <w:tc>
          <w:tcPr>
            <w:tcW w:w="2126" w:type="dxa"/>
            <w:shd w:val="clear" w:color="auto" w:fill="BFBFBF" w:themeFill="background1" w:themeFillShade="BF"/>
          </w:tcPr>
          <w:p w:rsidR="00FC36E7" w:rsidRPr="00FC36E7" w:rsidRDefault="00FC36E7" w:rsidP="00FC36E7">
            <w:pPr>
              <w:adjustRightInd w:val="0"/>
              <w:snapToGrid w:val="0"/>
              <w:jc w:val="left"/>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別紙１、６</w:t>
            </w:r>
          </w:p>
          <w:p w:rsidR="00FC36E7" w:rsidRPr="00FC36E7" w:rsidRDefault="00FC36E7" w:rsidP="00FC36E7">
            <w:pPr>
              <w:adjustRightInd w:val="0"/>
              <w:snapToGrid w:val="0"/>
              <w:jc w:val="left"/>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（有床診療所は別紙４、６）</w:t>
            </w:r>
          </w:p>
        </w:tc>
      </w:tr>
      <w:tr w:rsidR="00FC36E7" w:rsidRPr="004D2199" w:rsidTr="00EB3B3A">
        <w:tc>
          <w:tcPr>
            <w:tcW w:w="532"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14</w:t>
            </w:r>
          </w:p>
        </w:tc>
        <w:tc>
          <w:tcPr>
            <w:tcW w:w="2268"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平均在院日数、重症度、医療・看護必要度、在宅復帰率、医療区分２又は３の患者割合</w:t>
            </w:r>
          </w:p>
        </w:tc>
        <w:tc>
          <w:tcPr>
            <w:tcW w:w="10341" w:type="dxa"/>
            <w:shd w:val="clear" w:color="auto" w:fill="auto"/>
          </w:tcPr>
          <w:p w:rsidR="00FC36E7" w:rsidRPr="00FC36E7" w:rsidRDefault="00FC36E7" w:rsidP="00FC36E7">
            <w:pPr>
              <w:overflowPunct w:val="0"/>
              <w:adjustRightInd w:val="0"/>
              <w:snapToGrid w:val="0"/>
              <w:jc w:val="left"/>
              <w:textAlignment w:val="baseline"/>
              <w:rPr>
                <w:rFonts w:asciiTheme="minorEastAsia" w:eastAsiaTheme="minorEastAsia" w:hAnsiTheme="minorEastAsia" w:cs="MS-Mincho"/>
                <w:kern w:val="0"/>
                <w:sz w:val="22"/>
              </w:rPr>
            </w:pPr>
            <w:r w:rsidRPr="00FC36E7">
              <w:rPr>
                <w:rFonts w:asciiTheme="minorEastAsia" w:eastAsiaTheme="minorEastAsia" w:hAnsiTheme="minorEastAsia" w:cs="MS-Mincho" w:hint="eastAsia"/>
                <w:kern w:val="0"/>
                <w:sz w:val="22"/>
              </w:rPr>
              <w:t>被災前に施設基準を満たしていた被災地の保険医療機関及び被災地以外の保険医療機関において、災害等やむを得ない事情により患者を入院させたことにより、平均在院日数、重症度、医療・看護必要度、在宅復帰率、医療区分２・３の患者割合を満たさなくなった場合についても、当面、変更の届出を不要とする。</w:t>
            </w:r>
            <w:r w:rsidRPr="00FC36E7">
              <w:rPr>
                <w:rFonts w:asciiTheme="minorEastAsia" w:eastAsiaTheme="minorEastAsia" w:hAnsiTheme="minorEastAsia" w:hint="eastAsia"/>
                <w:sz w:val="22"/>
              </w:rPr>
              <w:t>（平成30年７月９日付け事務連絡）</w:t>
            </w:r>
          </w:p>
        </w:tc>
        <w:tc>
          <w:tcPr>
            <w:tcW w:w="2126" w:type="dxa"/>
            <w:shd w:val="clear" w:color="auto" w:fill="auto"/>
          </w:tcPr>
          <w:p w:rsidR="00FC36E7" w:rsidRPr="00F81F24" w:rsidRDefault="00FC36E7" w:rsidP="00FC36E7">
            <w:pPr>
              <w:widowControl/>
              <w:adjustRightInd w:val="0"/>
              <w:snapToGrid w:val="0"/>
              <w:jc w:val="left"/>
              <w:rPr>
                <w:rFonts w:asciiTheme="minorEastAsia" w:eastAsiaTheme="minorEastAsia" w:hAnsiTheme="minorEastAsia" w:cs="MS-Mincho"/>
                <w:kern w:val="0"/>
                <w:sz w:val="22"/>
              </w:rPr>
            </w:pPr>
            <w:r w:rsidRPr="00F81F24">
              <w:rPr>
                <w:rFonts w:asciiTheme="minorEastAsia" w:eastAsiaTheme="minorEastAsia" w:hAnsiTheme="minorEastAsia" w:cs="MS-Mincho" w:hint="eastAsia"/>
                <w:kern w:val="0"/>
                <w:sz w:val="22"/>
              </w:rPr>
              <w:t>・別紙</w:t>
            </w:r>
            <w:r w:rsidR="00F81F24" w:rsidRPr="00F81F24">
              <w:rPr>
                <w:rFonts w:asciiTheme="minorEastAsia" w:eastAsiaTheme="minorEastAsia" w:hAnsiTheme="minorEastAsia" w:cs="MS-Mincho" w:hint="eastAsia"/>
                <w:kern w:val="0"/>
                <w:sz w:val="22"/>
              </w:rPr>
              <w:t>１、２</w:t>
            </w:r>
          </w:p>
          <w:p w:rsidR="00FC36E7" w:rsidRPr="00FC36E7" w:rsidRDefault="00FC36E7" w:rsidP="00F81F24">
            <w:pPr>
              <w:widowControl/>
              <w:adjustRightInd w:val="0"/>
              <w:snapToGrid w:val="0"/>
              <w:jc w:val="left"/>
              <w:rPr>
                <w:rFonts w:asciiTheme="minorEastAsia" w:eastAsiaTheme="minorEastAsia" w:hAnsiTheme="minorEastAsia" w:cs="MS-Mincho"/>
                <w:kern w:val="0"/>
                <w:sz w:val="22"/>
              </w:rPr>
            </w:pPr>
            <w:r w:rsidRPr="00F81F24">
              <w:rPr>
                <w:rFonts w:asciiTheme="minorEastAsia" w:eastAsiaTheme="minorEastAsia" w:hAnsiTheme="minorEastAsia" w:cs="MS-Mincho" w:hint="eastAsia"/>
                <w:kern w:val="0"/>
                <w:sz w:val="22"/>
              </w:rPr>
              <w:t>（有床診療所は別紙</w:t>
            </w:r>
            <w:r w:rsidR="00F81F24" w:rsidRPr="00F81F24">
              <w:rPr>
                <w:rFonts w:asciiTheme="minorEastAsia" w:eastAsiaTheme="minorEastAsia" w:hAnsiTheme="minorEastAsia" w:cs="MS-Mincho" w:hint="eastAsia"/>
                <w:kern w:val="0"/>
                <w:sz w:val="22"/>
              </w:rPr>
              <w:t>１、４</w:t>
            </w:r>
            <w:r w:rsidRPr="00F81F24">
              <w:rPr>
                <w:rFonts w:asciiTheme="minorEastAsia" w:eastAsiaTheme="minorEastAsia" w:hAnsiTheme="minorEastAsia" w:cs="MS-Mincho" w:hint="eastAsia"/>
                <w:kern w:val="0"/>
                <w:sz w:val="22"/>
              </w:rPr>
              <w:t>）</w:t>
            </w:r>
          </w:p>
        </w:tc>
      </w:tr>
    </w:tbl>
    <w:p w:rsidR="00D67FFD" w:rsidRPr="00494DC5" w:rsidRDefault="00D67FFD" w:rsidP="00D67FFD">
      <w:pPr>
        <w:overflowPunct w:val="0"/>
        <w:ind w:left="2"/>
        <w:textAlignment w:val="baseline"/>
        <w:rPr>
          <w:rFonts w:ascii="ＭＳ 明朝" w:hAnsi="ＭＳ 明朝" w:cs="MS-Mincho"/>
          <w:kern w:val="0"/>
          <w:sz w:val="24"/>
          <w:szCs w:val="24"/>
        </w:rPr>
      </w:pPr>
      <w:r w:rsidRPr="00494DC5">
        <w:rPr>
          <w:rFonts w:ascii="ＭＳ 明朝" w:hAnsi="ＭＳ 明朝" w:cs="MS-Mincho" w:hint="eastAsia"/>
          <w:kern w:val="0"/>
          <w:sz w:val="24"/>
          <w:szCs w:val="24"/>
        </w:rPr>
        <w:t>上記（）内は特例措置に係る以下の事務連絡を指すものです。</w:t>
      </w:r>
    </w:p>
    <w:p w:rsidR="00D67FFD" w:rsidRPr="00494DC5" w:rsidRDefault="00D67FFD" w:rsidP="00BA4E8C">
      <w:pPr>
        <w:overflowPunct w:val="0"/>
        <w:textAlignment w:val="baseline"/>
        <w:rPr>
          <w:rFonts w:ascii="ＭＳ 明朝" w:hAnsi="ＭＳ 明朝" w:cs="MS-Mincho"/>
          <w:kern w:val="0"/>
          <w:sz w:val="24"/>
          <w:szCs w:val="24"/>
        </w:rPr>
      </w:pPr>
      <w:r w:rsidRPr="00494DC5">
        <w:rPr>
          <w:rFonts w:ascii="ＭＳ 明朝" w:hAnsi="ＭＳ 明朝" w:cs="MS-Mincho" w:hint="eastAsia"/>
          <w:kern w:val="0"/>
          <w:sz w:val="24"/>
          <w:szCs w:val="24"/>
        </w:rPr>
        <w:t>・「平成</w:t>
      </w:r>
      <w:r>
        <w:rPr>
          <w:rFonts w:ascii="ＭＳ 明朝" w:hAnsi="ＭＳ 明朝" w:cs="MS-Mincho" w:hint="eastAsia"/>
          <w:kern w:val="0"/>
          <w:sz w:val="24"/>
          <w:szCs w:val="24"/>
        </w:rPr>
        <w:t>30</w:t>
      </w:r>
      <w:r w:rsidRPr="00494DC5">
        <w:rPr>
          <w:rFonts w:ascii="ＭＳ 明朝" w:hAnsi="ＭＳ 明朝" w:cs="MS-Mincho" w:hint="eastAsia"/>
          <w:kern w:val="0"/>
          <w:sz w:val="24"/>
          <w:szCs w:val="24"/>
        </w:rPr>
        <w:t>年</w:t>
      </w:r>
      <w:r w:rsidR="00BA4E8C">
        <w:rPr>
          <w:rFonts w:ascii="ＭＳ 明朝" w:hAnsi="ＭＳ 明朝" w:cs="MS-Mincho" w:hint="eastAsia"/>
          <w:kern w:val="0"/>
          <w:sz w:val="24"/>
          <w:szCs w:val="24"/>
        </w:rPr>
        <w:t>台風７号及び前線等に伴う大雨による被災に伴う保険診療関係等及び診療報酬の取扱いについて</w:t>
      </w:r>
      <w:r w:rsidRPr="00494DC5">
        <w:rPr>
          <w:rFonts w:ascii="ＭＳ 明朝" w:hAnsi="ＭＳ 明朝" w:cs="MS-Mincho" w:hint="eastAsia"/>
          <w:kern w:val="0"/>
          <w:sz w:val="24"/>
          <w:szCs w:val="24"/>
        </w:rPr>
        <w:t>」</w:t>
      </w:r>
      <w:r w:rsidRPr="00494DC5">
        <w:rPr>
          <w:rFonts w:ascii="ＭＳ 明朝" w:hAnsi="ＭＳ 明朝" w:cs="ＭＳ Ｐゴシック" w:hint="eastAsia"/>
          <w:color w:val="000000"/>
          <w:kern w:val="0"/>
          <w:sz w:val="24"/>
          <w:szCs w:val="24"/>
        </w:rPr>
        <w:t>（平成</w:t>
      </w:r>
      <w:r w:rsidR="00BA4E8C">
        <w:rPr>
          <w:rFonts w:ascii="ＭＳ 明朝" w:hAnsi="ＭＳ 明朝" w:cs="ＭＳ Ｐゴシック" w:hint="eastAsia"/>
          <w:color w:val="000000"/>
          <w:kern w:val="0"/>
          <w:sz w:val="24"/>
          <w:szCs w:val="24"/>
        </w:rPr>
        <w:t>30</w:t>
      </w:r>
      <w:r w:rsidRPr="00494DC5">
        <w:rPr>
          <w:rFonts w:ascii="ＭＳ 明朝" w:hAnsi="ＭＳ 明朝" w:cs="ＭＳ Ｐゴシック" w:hint="eastAsia"/>
          <w:color w:val="000000"/>
          <w:kern w:val="0"/>
          <w:sz w:val="24"/>
          <w:szCs w:val="24"/>
        </w:rPr>
        <w:t>年</w:t>
      </w:r>
      <w:r w:rsidR="00BA4E8C">
        <w:rPr>
          <w:rFonts w:ascii="ＭＳ 明朝" w:hAnsi="ＭＳ 明朝" w:cs="ＭＳ Ｐゴシック" w:hint="eastAsia"/>
          <w:color w:val="000000"/>
          <w:kern w:val="0"/>
          <w:sz w:val="24"/>
          <w:szCs w:val="24"/>
        </w:rPr>
        <w:t>７</w:t>
      </w:r>
      <w:r w:rsidRPr="00494DC5">
        <w:rPr>
          <w:rFonts w:ascii="ＭＳ 明朝" w:hAnsi="ＭＳ 明朝" w:cs="ＭＳ Ｐゴシック" w:hint="eastAsia"/>
          <w:color w:val="000000"/>
          <w:kern w:val="0"/>
          <w:sz w:val="24"/>
          <w:szCs w:val="24"/>
        </w:rPr>
        <w:t>月</w:t>
      </w:r>
      <w:r w:rsidR="00BA4E8C">
        <w:rPr>
          <w:rFonts w:ascii="ＭＳ 明朝" w:hAnsi="ＭＳ 明朝" w:cs="ＭＳ Ｐゴシック" w:hint="eastAsia"/>
          <w:color w:val="000000"/>
          <w:kern w:val="0"/>
          <w:sz w:val="24"/>
          <w:szCs w:val="24"/>
        </w:rPr>
        <w:t>９</w:t>
      </w:r>
      <w:r w:rsidRPr="00494DC5">
        <w:rPr>
          <w:rFonts w:ascii="ＭＳ 明朝" w:hAnsi="ＭＳ 明朝" w:cs="ＭＳ Ｐゴシック" w:hint="eastAsia"/>
          <w:color w:val="000000"/>
          <w:kern w:val="0"/>
          <w:sz w:val="24"/>
          <w:szCs w:val="24"/>
        </w:rPr>
        <w:t>日付）</w:t>
      </w:r>
    </w:p>
    <w:p w:rsidR="00D67FFD" w:rsidRPr="00494DC5" w:rsidRDefault="00D67FFD" w:rsidP="00D67FFD">
      <w:pPr>
        <w:widowControl/>
        <w:shd w:val="clear" w:color="auto" w:fill="FFFFFF"/>
        <w:ind w:leftChars="100" w:left="450" w:hangingChars="100" w:hanging="240"/>
        <w:jc w:val="left"/>
        <w:outlineLvl w:val="5"/>
        <w:rPr>
          <w:rFonts w:ascii="ＭＳ 明朝" w:hAnsi="ＭＳ 明朝" w:cs="ＭＳ Ｐゴシック"/>
          <w:color w:val="000000"/>
          <w:kern w:val="0"/>
          <w:sz w:val="24"/>
          <w:szCs w:val="24"/>
        </w:rPr>
      </w:pPr>
      <w:r w:rsidRPr="00494DC5">
        <w:rPr>
          <w:rFonts w:ascii="ＭＳ 明朝" w:hAnsi="ＭＳ 明朝" w:cs="ＭＳ Ｐゴシック" w:hint="eastAsia"/>
          <w:color w:val="000000"/>
          <w:kern w:val="0"/>
          <w:sz w:val="24"/>
          <w:szCs w:val="24"/>
        </w:rPr>
        <w:t>なお、事務連絡の詳細については、以下の厚生労働省HPをご参照ください。</w:t>
      </w:r>
    </w:p>
    <w:p w:rsidR="00D67FFD" w:rsidRPr="004E2375" w:rsidRDefault="00D67FFD" w:rsidP="00D67FFD">
      <w:pPr>
        <w:widowControl/>
        <w:shd w:val="clear" w:color="auto" w:fill="FFFFFF"/>
        <w:ind w:leftChars="200" w:left="420"/>
        <w:jc w:val="left"/>
        <w:outlineLvl w:val="5"/>
        <w:rPr>
          <w:rFonts w:ascii="ＭＳ 明朝" w:hAnsi="ＭＳ 明朝" w:cs="ＭＳ Ｐゴシック"/>
          <w:color w:val="000000"/>
          <w:kern w:val="0"/>
          <w:szCs w:val="21"/>
        </w:rPr>
      </w:pPr>
      <w:r w:rsidRPr="004E2375">
        <w:rPr>
          <w:rFonts w:ascii="ＭＳ 明朝" w:hAnsi="ＭＳ 明朝" w:cs="ＭＳ Ｐゴシック" w:hint="eastAsia"/>
          <w:color w:val="000000"/>
          <w:kern w:val="0"/>
          <w:szCs w:val="21"/>
        </w:rPr>
        <w:t xml:space="preserve">厚生労働省HP　→　政策について　→　分野別の政策一覧　→　他分野の取り組み　→　災害　→　</w:t>
      </w:r>
      <w:r w:rsidR="00225557">
        <w:rPr>
          <w:rFonts w:ascii="ＭＳ 明朝" w:hAnsi="ＭＳ 明朝" w:cs="ＭＳ Ｐゴシック" w:hint="eastAsia"/>
          <w:color w:val="000000"/>
          <w:kern w:val="0"/>
          <w:szCs w:val="21"/>
        </w:rPr>
        <w:t>平成30年７月豪雨</w:t>
      </w:r>
      <w:r>
        <w:rPr>
          <w:rFonts w:ascii="ＭＳ 明朝" w:hAnsi="ＭＳ 明朝" w:cs="ＭＳ Ｐゴシック" w:hint="eastAsia"/>
          <w:color w:val="000000"/>
          <w:kern w:val="0"/>
          <w:szCs w:val="21"/>
        </w:rPr>
        <w:t>について</w:t>
      </w:r>
      <w:r w:rsidRPr="004E2375">
        <w:rPr>
          <w:rFonts w:ascii="ＭＳ 明朝" w:hAnsi="ＭＳ 明朝" w:cs="ＭＳ Ｐゴシック" w:hint="eastAsia"/>
          <w:color w:val="000000"/>
          <w:kern w:val="0"/>
          <w:szCs w:val="21"/>
        </w:rPr>
        <w:t>【</w:t>
      </w:r>
      <w:r w:rsidR="00225557">
        <w:rPr>
          <w:rFonts w:ascii="ＭＳ 明朝" w:hAnsi="ＭＳ 明朝" w:cs="ＭＳ Ｐゴシック" w:hint="eastAsia"/>
          <w:color w:val="000000"/>
          <w:kern w:val="0"/>
          <w:szCs w:val="21"/>
        </w:rPr>
        <w:t>通知・事務連絡</w:t>
      </w:r>
      <w:r w:rsidRPr="004E2375">
        <w:rPr>
          <w:rFonts w:ascii="ＭＳ 明朝" w:hAnsi="ＭＳ 明朝" w:cs="ＭＳ Ｐゴシック" w:hint="eastAsia"/>
          <w:color w:val="000000"/>
          <w:kern w:val="0"/>
          <w:szCs w:val="21"/>
        </w:rPr>
        <w:t>等】</w:t>
      </w:r>
    </w:p>
    <w:p w:rsidR="0059587F" w:rsidRDefault="00105A6C" w:rsidP="00D67FFD">
      <w:pPr>
        <w:widowControl/>
        <w:shd w:val="clear" w:color="auto" w:fill="FFFFFF"/>
        <w:adjustRightInd w:val="0"/>
        <w:snapToGrid w:val="0"/>
        <w:ind w:leftChars="400" w:left="840"/>
        <w:jc w:val="left"/>
        <w:outlineLvl w:val="5"/>
        <w:rPr>
          <w:rFonts w:ascii="ＭＳ 明朝" w:hAnsi="ＭＳ 明朝" w:cs="ＭＳ Ｐゴシック"/>
          <w:color w:val="000000"/>
          <w:kern w:val="0"/>
          <w:sz w:val="24"/>
          <w:szCs w:val="24"/>
        </w:rPr>
      </w:pPr>
      <w:hyperlink r:id="rId8" w:history="1">
        <w:r w:rsidR="00225557" w:rsidRPr="00866326">
          <w:rPr>
            <w:rStyle w:val="aa"/>
            <w:rFonts w:ascii="ＭＳ 明朝" w:hAnsi="ＭＳ 明朝" w:cs="ＭＳ Ｐゴシック"/>
            <w:kern w:val="0"/>
            <w:sz w:val="24"/>
            <w:szCs w:val="24"/>
          </w:rPr>
          <w:t>https://www.mhlw.go.jp/content/10600000/000331838.pdf</w:t>
        </w:r>
      </w:hyperlink>
    </w:p>
    <w:p w:rsidR="00225557" w:rsidRDefault="00225557" w:rsidP="00D67FFD">
      <w:pPr>
        <w:widowControl/>
        <w:shd w:val="clear" w:color="auto" w:fill="FFFFFF"/>
        <w:adjustRightInd w:val="0"/>
        <w:snapToGrid w:val="0"/>
        <w:ind w:leftChars="400" w:left="840"/>
        <w:jc w:val="left"/>
        <w:outlineLvl w:val="5"/>
        <w:rPr>
          <w:rFonts w:ascii="ＭＳ 明朝" w:hAnsi="ＭＳ 明朝" w:cs="ＭＳ Ｐゴシック"/>
          <w:color w:val="000000"/>
          <w:kern w:val="0"/>
          <w:sz w:val="24"/>
          <w:szCs w:val="24"/>
        </w:rPr>
      </w:pPr>
    </w:p>
    <w:p w:rsidR="00225557" w:rsidRPr="00EF2408" w:rsidRDefault="00225557" w:rsidP="00D67FFD">
      <w:pPr>
        <w:widowControl/>
        <w:shd w:val="clear" w:color="auto" w:fill="FFFFFF"/>
        <w:adjustRightInd w:val="0"/>
        <w:snapToGrid w:val="0"/>
        <w:ind w:leftChars="400" w:left="840"/>
        <w:jc w:val="left"/>
        <w:outlineLvl w:val="5"/>
        <w:rPr>
          <w:rFonts w:ascii="ＭＳ 明朝" w:hAnsi="ＭＳ 明朝" w:cs="ＭＳ Ｐゴシック"/>
          <w:dstrike/>
          <w:kern w:val="0"/>
          <w:sz w:val="20"/>
        </w:rPr>
      </w:pPr>
    </w:p>
    <w:sectPr w:rsidR="00225557" w:rsidRPr="00EF2408" w:rsidSect="005123DB">
      <w:pgSz w:w="16838" w:h="11906" w:orient="landscape" w:code="9"/>
      <w:pgMar w:top="851" w:right="1134" w:bottom="851" w:left="1134" w:header="851" w:footer="397" w:gutter="0"/>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A6C" w:rsidRDefault="00105A6C" w:rsidP="009E28D5">
      <w:r>
        <w:separator/>
      </w:r>
    </w:p>
  </w:endnote>
  <w:endnote w:type="continuationSeparator" w:id="0">
    <w:p w:rsidR="00105A6C" w:rsidRDefault="00105A6C" w:rsidP="009E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F0000" w:usb2="00000010" w:usb3="00000000" w:csb0="0006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A6C" w:rsidRDefault="00105A6C" w:rsidP="009E28D5">
      <w:r>
        <w:separator/>
      </w:r>
    </w:p>
  </w:footnote>
  <w:footnote w:type="continuationSeparator" w:id="0">
    <w:p w:rsidR="00105A6C" w:rsidRDefault="00105A6C" w:rsidP="009E2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5022"/>
    <w:multiLevelType w:val="hybridMultilevel"/>
    <w:tmpl w:val="CAE2D046"/>
    <w:lvl w:ilvl="0" w:tplc="5806671A">
      <w:start w:val="1"/>
      <w:numFmt w:val="decimalEnclosedCircle"/>
      <w:lvlText w:val="【%1"/>
      <w:lvlJc w:val="left"/>
      <w:pPr>
        <w:ind w:left="945" w:hanging="48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7FB77414"/>
    <w:multiLevelType w:val="hybridMultilevel"/>
    <w:tmpl w:val="9E0A7F52"/>
    <w:lvl w:ilvl="0" w:tplc="22BE42A8">
      <w:start w:val="1"/>
      <w:numFmt w:val="decimalEnclosedCircle"/>
      <w:lvlText w:val="【%1"/>
      <w:lvlJc w:val="left"/>
      <w:pPr>
        <w:ind w:left="915" w:hanging="48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DDB"/>
    <w:rsid w:val="00011627"/>
    <w:rsid w:val="00013F7D"/>
    <w:rsid w:val="00022DA5"/>
    <w:rsid w:val="000423F9"/>
    <w:rsid w:val="0005392D"/>
    <w:rsid w:val="000655D0"/>
    <w:rsid w:val="00075B8C"/>
    <w:rsid w:val="00076882"/>
    <w:rsid w:val="000778BB"/>
    <w:rsid w:val="000928DC"/>
    <w:rsid w:val="000B227E"/>
    <w:rsid w:val="000C250D"/>
    <w:rsid w:val="000C5EC9"/>
    <w:rsid w:val="000C754A"/>
    <w:rsid w:val="000D4509"/>
    <w:rsid w:val="000D5340"/>
    <w:rsid w:val="000E0C9A"/>
    <w:rsid w:val="00105A6C"/>
    <w:rsid w:val="00116C21"/>
    <w:rsid w:val="00116F2A"/>
    <w:rsid w:val="00123BFF"/>
    <w:rsid w:val="00123D80"/>
    <w:rsid w:val="00126541"/>
    <w:rsid w:val="001267B3"/>
    <w:rsid w:val="0014457F"/>
    <w:rsid w:val="0015364E"/>
    <w:rsid w:val="00161C7B"/>
    <w:rsid w:val="001667EF"/>
    <w:rsid w:val="00166EDB"/>
    <w:rsid w:val="001729A9"/>
    <w:rsid w:val="00176282"/>
    <w:rsid w:val="001765EB"/>
    <w:rsid w:val="00183DFC"/>
    <w:rsid w:val="001A7911"/>
    <w:rsid w:val="001D1542"/>
    <w:rsid w:val="001D6229"/>
    <w:rsid w:val="001E0EA8"/>
    <w:rsid w:val="001E51A0"/>
    <w:rsid w:val="001E7FCD"/>
    <w:rsid w:val="001F2F9C"/>
    <w:rsid w:val="001F780D"/>
    <w:rsid w:val="00210671"/>
    <w:rsid w:val="002147C6"/>
    <w:rsid w:val="00224A8D"/>
    <w:rsid w:val="00225557"/>
    <w:rsid w:val="00243EC7"/>
    <w:rsid w:val="002526E5"/>
    <w:rsid w:val="00252CBE"/>
    <w:rsid w:val="002533CC"/>
    <w:rsid w:val="00267727"/>
    <w:rsid w:val="00270AD7"/>
    <w:rsid w:val="0027457D"/>
    <w:rsid w:val="002809B1"/>
    <w:rsid w:val="0028411C"/>
    <w:rsid w:val="0028703F"/>
    <w:rsid w:val="002908CB"/>
    <w:rsid w:val="00291457"/>
    <w:rsid w:val="002A4AB9"/>
    <w:rsid w:val="002B082B"/>
    <w:rsid w:val="002B2670"/>
    <w:rsid w:val="002B3393"/>
    <w:rsid w:val="002B64E2"/>
    <w:rsid w:val="002D0986"/>
    <w:rsid w:val="002D303B"/>
    <w:rsid w:val="002E59C1"/>
    <w:rsid w:val="002F64E4"/>
    <w:rsid w:val="002F7614"/>
    <w:rsid w:val="00300DDB"/>
    <w:rsid w:val="00314E45"/>
    <w:rsid w:val="00326B4B"/>
    <w:rsid w:val="00344182"/>
    <w:rsid w:val="00365598"/>
    <w:rsid w:val="00366EFC"/>
    <w:rsid w:val="00383A3B"/>
    <w:rsid w:val="003C3F93"/>
    <w:rsid w:val="003D0442"/>
    <w:rsid w:val="003D4BB8"/>
    <w:rsid w:val="003D6C25"/>
    <w:rsid w:val="003E5845"/>
    <w:rsid w:val="003E66F2"/>
    <w:rsid w:val="003F2F73"/>
    <w:rsid w:val="003F73FB"/>
    <w:rsid w:val="00400156"/>
    <w:rsid w:val="00402A52"/>
    <w:rsid w:val="0041522B"/>
    <w:rsid w:val="00415BDD"/>
    <w:rsid w:val="00416FC1"/>
    <w:rsid w:val="0042176E"/>
    <w:rsid w:val="0043363C"/>
    <w:rsid w:val="00433A37"/>
    <w:rsid w:val="00437E2F"/>
    <w:rsid w:val="004424FF"/>
    <w:rsid w:val="00444009"/>
    <w:rsid w:val="00444C6E"/>
    <w:rsid w:val="00444DA2"/>
    <w:rsid w:val="00454BC1"/>
    <w:rsid w:val="00467582"/>
    <w:rsid w:val="00471E84"/>
    <w:rsid w:val="00473A3F"/>
    <w:rsid w:val="004832A9"/>
    <w:rsid w:val="0049106F"/>
    <w:rsid w:val="004B0B0D"/>
    <w:rsid w:val="004C32D2"/>
    <w:rsid w:val="004C79DB"/>
    <w:rsid w:val="004F16EC"/>
    <w:rsid w:val="004F35FD"/>
    <w:rsid w:val="00501ADA"/>
    <w:rsid w:val="005123DB"/>
    <w:rsid w:val="00522796"/>
    <w:rsid w:val="005342AB"/>
    <w:rsid w:val="00543E23"/>
    <w:rsid w:val="00546014"/>
    <w:rsid w:val="0055341B"/>
    <w:rsid w:val="00560AEC"/>
    <w:rsid w:val="005633C2"/>
    <w:rsid w:val="00565903"/>
    <w:rsid w:val="00574A5B"/>
    <w:rsid w:val="005771CE"/>
    <w:rsid w:val="00580308"/>
    <w:rsid w:val="00580DD5"/>
    <w:rsid w:val="0059587F"/>
    <w:rsid w:val="005A5178"/>
    <w:rsid w:val="005A62EC"/>
    <w:rsid w:val="005A69E7"/>
    <w:rsid w:val="005B0F98"/>
    <w:rsid w:val="005C2F8F"/>
    <w:rsid w:val="005C732A"/>
    <w:rsid w:val="005D13FF"/>
    <w:rsid w:val="005D2137"/>
    <w:rsid w:val="005F07B6"/>
    <w:rsid w:val="005F263D"/>
    <w:rsid w:val="005F5000"/>
    <w:rsid w:val="006031D4"/>
    <w:rsid w:val="00605F83"/>
    <w:rsid w:val="00606BE0"/>
    <w:rsid w:val="00610468"/>
    <w:rsid w:val="00646C36"/>
    <w:rsid w:val="00646D4A"/>
    <w:rsid w:val="00647237"/>
    <w:rsid w:val="00655D84"/>
    <w:rsid w:val="00680151"/>
    <w:rsid w:val="00681DD9"/>
    <w:rsid w:val="00684BFE"/>
    <w:rsid w:val="00691BF3"/>
    <w:rsid w:val="00695454"/>
    <w:rsid w:val="006B31A4"/>
    <w:rsid w:val="006B503B"/>
    <w:rsid w:val="006B7256"/>
    <w:rsid w:val="006D3DF7"/>
    <w:rsid w:val="006E2732"/>
    <w:rsid w:val="006E40B8"/>
    <w:rsid w:val="006E662B"/>
    <w:rsid w:val="00701B0C"/>
    <w:rsid w:val="00703E31"/>
    <w:rsid w:val="007056F2"/>
    <w:rsid w:val="00707D26"/>
    <w:rsid w:val="00723732"/>
    <w:rsid w:val="007631C0"/>
    <w:rsid w:val="0077074D"/>
    <w:rsid w:val="007743F0"/>
    <w:rsid w:val="007A7930"/>
    <w:rsid w:val="007B1D15"/>
    <w:rsid w:val="007B38ED"/>
    <w:rsid w:val="007C238B"/>
    <w:rsid w:val="007E4617"/>
    <w:rsid w:val="007E5B5B"/>
    <w:rsid w:val="00807F42"/>
    <w:rsid w:val="00814AFD"/>
    <w:rsid w:val="00827A80"/>
    <w:rsid w:val="008318B7"/>
    <w:rsid w:val="00834078"/>
    <w:rsid w:val="008468BB"/>
    <w:rsid w:val="0088336D"/>
    <w:rsid w:val="008848E3"/>
    <w:rsid w:val="0088613E"/>
    <w:rsid w:val="008C4963"/>
    <w:rsid w:val="008E38A4"/>
    <w:rsid w:val="008F5000"/>
    <w:rsid w:val="008F74A6"/>
    <w:rsid w:val="008F7776"/>
    <w:rsid w:val="0091368B"/>
    <w:rsid w:val="009402F0"/>
    <w:rsid w:val="00941C28"/>
    <w:rsid w:val="00941E57"/>
    <w:rsid w:val="00946479"/>
    <w:rsid w:val="0095142E"/>
    <w:rsid w:val="00960E61"/>
    <w:rsid w:val="0097405C"/>
    <w:rsid w:val="009755A2"/>
    <w:rsid w:val="00977471"/>
    <w:rsid w:val="009852FC"/>
    <w:rsid w:val="009922A6"/>
    <w:rsid w:val="009A5D54"/>
    <w:rsid w:val="009B5195"/>
    <w:rsid w:val="009C7EC6"/>
    <w:rsid w:val="009D45D7"/>
    <w:rsid w:val="009D744C"/>
    <w:rsid w:val="009E28D5"/>
    <w:rsid w:val="009E6F52"/>
    <w:rsid w:val="009F3F5F"/>
    <w:rsid w:val="00A05DFC"/>
    <w:rsid w:val="00A06AB7"/>
    <w:rsid w:val="00A10FBF"/>
    <w:rsid w:val="00A11CE6"/>
    <w:rsid w:val="00A1429F"/>
    <w:rsid w:val="00A25E05"/>
    <w:rsid w:val="00A2733C"/>
    <w:rsid w:val="00A30508"/>
    <w:rsid w:val="00A329F1"/>
    <w:rsid w:val="00A378CB"/>
    <w:rsid w:val="00A44DDA"/>
    <w:rsid w:val="00A47CEC"/>
    <w:rsid w:val="00A53515"/>
    <w:rsid w:val="00A62631"/>
    <w:rsid w:val="00A62CD0"/>
    <w:rsid w:val="00A63931"/>
    <w:rsid w:val="00A739F6"/>
    <w:rsid w:val="00A8429E"/>
    <w:rsid w:val="00A84AE3"/>
    <w:rsid w:val="00A8587F"/>
    <w:rsid w:val="00A87E2F"/>
    <w:rsid w:val="00A9599C"/>
    <w:rsid w:val="00AA11EA"/>
    <w:rsid w:val="00AC6488"/>
    <w:rsid w:val="00AD3FAA"/>
    <w:rsid w:val="00AE1E56"/>
    <w:rsid w:val="00AE2AC0"/>
    <w:rsid w:val="00AE2BD0"/>
    <w:rsid w:val="00AF7B19"/>
    <w:rsid w:val="00B02479"/>
    <w:rsid w:val="00B05095"/>
    <w:rsid w:val="00B36B95"/>
    <w:rsid w:val="00B424F8"/>
    <w:rsid w:val="00B50480"/>
    <w:rsid w:val="00B52AE1"/>
    <w:rsid w:val="00B65537"/>
    <w:rsid w:val="00B7160C"/>
    <w:rsid w:val="00B801FF"/>
    <w:rsid w:val="00B82E97"/>
    <w:rsid w:val="00B84D14"/>
    <w:rsid w:val="00BA20B7"/>
    <w:rsid w:val="00BA4E8C"/>
    <w:rsid w:val="00BA6FBF"/>
    <w:rsid w:val="00BA775E"/>
    <w:rsid w:val="00BB51EB"/>
    <w:rsid w:val="00BC6EA4"/>
    <w:rsid w:val="00BC6FF0"/>
    <w:rsid w:val="00BE4F33"/>
    <w:rsid w:val="00BE59AC"/>
    <w:rsid w:val="00BF0B45"/>
    <w:rsid w:val="00BF1AC5"/>
    <w:rsid w:val="00C12874"/>
    <w:rsid w:val="00C12A9F"/>
    <w:rsid w:val="00C2126B"/>
    <w:rsid w:val="00C34BEF"/>
    <w:rsid w:val="00C36A42"/>
    <w:rsid w:val="00C402EA"/>
    <w:rsid w:val="00C4602B"/>
    <w:rsid w:val="00C57124"/>
    <w:rsid w:val="00C67AB4"/>
    <w:rsid w:val="00C70B81"/>
    <w:rsid w:val="00C747D2"/>
    <w:rsid w:val="00C915CA"/>
    <w:rsid w:val="00CA6961"/>
    <w:rsid w:val="00CB7B41"/>
    <w:rsid w:val="00CD0E1B"/>
    <w:rsid w:val="00CD3E8F"/>
    <w:rsid w:val="00CE6E6F"/>
    <w:rsid w:val="00CF1E60"/>
    <w:rsid w:val="00D05759"/>
    <w:rsid w:val="00D13F8B"/>
    <w:rsid w:val="00D220F0"/>
    <w:rsid w:val="00D40899"/>
    <w:rsid w:val="00D41E21"/>
    <w:rsid w:val="00D42826"/>
    <w:rsid w:val="00D4734C"/>
    <w:rsid w:val="00D51453"/>
    <w:rsid w:val="00D601FB"/>
    <w:rsid w:val="00D67FFD"/>
    <w:rsid w:val="00D70461"/>
    <w:rsid w:val="00D72485"/>
    <w:rsid w:val="00D82A14"/>
    <w:rsid w:val="00D909C9"/>
    <w:rsid w:val="00D96106"/>
    <w:rsid w:val="00D97120"/>
    <w:rsid w:val="00DA5978"/>
    <w:rsid w:val="00DA6FFE"/>
    <w:rsid w:val="00DD4A59"/>
    <w:rsid w:val="00DD4F7D"/>
    <w:rsid w:val="00DE235B"/>
    <w:rsid w:val="00DF6D1F"/>
    <w:rsid w:val="00E06CC9"/>
    <w:rsid w:val="00E07659"/>
    <w:rsid w:val="00E106F9"/>
    <w:rsid w:val="00E2051F"/>
    <w:rsid w:val="00E25F66"/>
    <w:rsid w:val="00E26E03"/>
    <w:rsid w:val="00E35F1C"/>
    <w:rsid w:val="00E47F02"/>
    <w:rsid w:val="00E610F9"/>
    <w:rsid w:val="00E65627"/>
    <w:rsid w:val="00E70C58"/>
    <w:rsid w:val="00E7716E"/>
    <w:rsid w:val="00E92CC2"/>
    <w:rsid w:val="00EA1FA6"/>
    <w:rsid w:val="00EA2368"/>
    <w:rsid w:val="00EA5264"/>
    <w:rsid w:val="00EB3B3A"/>
    <w:rsid w:val="00EB7D79"/>
    <w:rsid w:val="00EE6C43"/>
    <w:rsid w:val="00EF2408"/>
    <w:rsid w:val="00EF5F42"/>
    <w:rsid w:val="00EF7DD2"/>
    <w:rsid w:val="00F04B2A"/>
    <w:rsid w:val="00F06B18"/>
    <w:rsid w:val="00F220DC"/>
    <w:rsid w:val="00F41D88"/>
    <w:rsid w:val="00F467D2"/>
    <w:rsid w:val="00F46D43"/>
    <w:rsid w:val="00F52396"/>
    <w:rsid w:val="00F61B53"/>
    <w:rsid w:val="00F81F24"/>
    <w:rsid w:val="00F93FFD"/>
    <w:rsid w:val="00F95B24"/>
    <w:rsid w:val="00F9682E"/>
    <w:rsid w:val="00FC3104"/>
    <w:rsid w:val="00FC36E7"/>
    <w:rsid w:val="00FD2D36"/>
    <w:rsid w:val="00FE077C"/>
    <w:rsid w:val="00FF3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2A8BEA6-439C-4814-9653-44352FED0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3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8D5"/>
    <w:pPr>
      <w:tabs>
        <w:tab w:val="center" w:pos="4252"/>
        <w:tab w:val="right" w:pos="8504"/>
      </w:tabs>
      <w:snapToGrid w:val="0"/>
    </w:pPr>
  </w:style>
  <w:style w:type="character" w:customStyle="1" w:styleId="a4">
    <w:name w:val="ヘッダー (文字)"/>
    <w:basedOn w:val="a0"/>
    <w:link w:val="a3"/>
    <w:uiPriority w:val="99"/>
    <w:rsid w:val="009E28D5"/>
  </w:style>
  <w:style w:type="paragraph" w:styleId="a5">
    <w:name w:val="footer"/>
    <w:basedOn w:val="a"/>
    <w:link w:val="a6"/>
    <w:uiPriority w:val="99"/>
    <w:unhideWhenUsed/>
    <w:rsid w:val="009E28D5"/>
    <w:pPr>
      <w:tabs>
        <w:tab w:val="center" w:pos="4252"/>
        <w:tab w:val="right" w:pos="8504"/>
      </w:tabs>
      <w:snapToGrid w:val="0"/>
    </w:pPr>
  </w:style>
  <w:style w:type="character" w:customStyle="1" w:styleId="a6">
    <w:name w:val="フッター (文字)"/>
    <w:basedOn w:val="a0"/>
    <w:link w:val="a5"/>
    <w:uiPriority w:val="99"/>
    <w:rsid w:val="009E28D5"/>
  </w:style>
  <w:style w:type="paragraph" w:styleId="a7">
    <w:name w:val="Balloon Text"/>
    <w:basedOn w:val="a"/>
    <w:link w:val="a8"/>
    <w:uiPriority w:val="99"/>
    <w:semiHidden/>
    <w:unhideWhenUsed/>
    <w:rsid w:val="00605F83"/>
    <w:rPr>
      <w:rFonts w:ascii="Arial" w:eastAsia="ＭＳ ゴシック" w:hAnsi="Arial"/>
      <w:sz w:val="18"/>
      <w:szCs w:val="18"/>
    </w:rPr>
  </w:style>
  <w:style w:type="character" w:customStyle="1" w:styleId="a8">
    <w:name w:val="吹き出し (文字)"/>
    <w:link w:val="a7"/>
    <w:uiPriority w:val="99"/>
    <w:semiHidden/>
    <w:rsid w:val="00605F83"/>
    <w:rPr>
      <w:rFonts w:ascii="Arial" w:eastAsia="ＭＳ ゴシック" w:hAnsi="Arial" w:cs="Times New Roman"/>
      <w:kern w:val="2"/>
      <w:sz w:val="18"/>
      <w:szCs w:val="18"/>
    </w:rPr>
  </w:style>
  <w:style w:type="table" w:styleId="a9">
    <w:name w:val="Table Grid"/>
    <w:basedOn w:val="a1"/>
    <w:uiPriority w:val="59"/>
    <w:rsid w:val="00FF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E92CC2"/>
    <w:rPr>
      <w:color w:val="0000FF"/>
      <w:u w:val="single"/>
    </w:rPr>
  </w:style>
  <w:style w:type="character" w:styleId="ab">
    <w:name w:val="FollowedHyperlink"/>
    <w:basedOn w:val="a0"/>
    <w:uiPriority w:val="99"/>
    <w:semiHidden/>
    <w:unhideWhenUsed/>
    <w:rsid w:val="002255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70303">
      <w:bodyDiv w:val="1"/>
      <w:marLeft w:val="0"/>
      <w:marRight w:val="0"/>
      <w:marTop w:val="0"/>
      <w:marBottom w:val="0"/>
      <w:divBdr>
        <w:top w:val="none" w:sz="0" w:space="0" w:color="auto"/>
        <w:left w:val="none" w:sz="0" w:space="0" w:color="auto"/>
        <w:bottom w:val="none" w:sz="0" w:space="0" w:color="auto"/>
        <w:right w:val="none" w:sz="0" w:space="0" w:color="auto"/>
      </w:divBdr>
    </w:div>
    <w:div w:id="458229026">
      <w:bodyDiv w:val="1"/>
      <w:marLeft w:val="0"/>
      <w:marRight w:val="0"/>
      <w:marTop w:val="0"/>
      <w:marBottom w:val="0"/>
      <w:divBdr>
        <w:top w:val="none" w:sz="0" w:space="0" w:color="auto"/>
        <w:left w:val="none" w:sz="0" w:space="0" w:color="auto"/>
        <w:bottom w:val="none" w:sz="0" w:space="0" w:color="auto"/>
        <w:right w:val="none" w:sz="0" w:space="0" w:color="auto"/>
      </w:divBdr>
      <w:divsChild>
        <w:div w:id="883252668">
          <w:marLeft w:val="0"/>
          <w:marRight w:val="0"/>
          <w:marTop w:val="0"/>
          <w:marBottom w:val="0"/>
          <w:divBdr>
            <w:top w:val="none" w:sz="0" w:space="0" w:color="auto"/>
            <w:left w:val="none" w:sz="0" w:space="0" w:color="auto"/>
            <w:bottom w:val="none" w:sz="0" w:space="0" w:color="auto"/>
            <w:right w:val="none" w:sz="0" w:space="0" w:color="auto"/>
          </w:divBdr>
          <w:divsChild>
            <w:div w:id="1571960170">
              <w:marLeft w:val="0"/>
              <w:marRight w:val="0"/>
              <w:marTop w:val="0"/>
              <w:marBottom w:val="0"/>
              <w:divBdr>
                <w:top w:val="none" w:sz="0" w:space="0" w:color="auto"/>
                <w:left w:val="none" w:sz="0" w:space="0" w:color="auto"/>
                <w:bottom w:val="none" w:sz="0" w:space="0" w:color="auto"/>
                <w:right w:val="none" w:sz="0" w:space="0" w:color="auto"/>
              </w:divBdr>
              <w:divsChild>
                <w:div w:id="649987065">
                  <w:marLeft w:val="0"/>
                  <w:marRight w:val="0"/>
                  <w:marTop w:val="0"/>
                  <w:marBottom w:val="0"/>
                  <w:divBdr>
                    <w:top w:val="none" w:sz="0" w:space="0" w:color="auto"/>
                    <w:left w:val="none" w:sz="0" w:space="0" w:color="auto"/>
                    <w:bottom w:val="none" w:sz="0" w:space="0" w:color="auto"/>
                    <w:right w:val="none" w:sz="0" w:space="0" w:color="auto"/>
                  </w:divBdr>
                  <w:divsChild>
                    <w:div w:id="808598747">
                      <w:marLeft w:val="0"/>
                      <w:marRight w:val="-3600"/>
                      <w:marTop w:val="0"/>
                      <w:marBottom w:val="0"/>
                      <w:divBdr>
                        <w:top w:val="none" w:sz="0" w:space="0" w:color="auto"/>
                        <w:left w:val="none" w:sz="0" w:space="0" w:color="auto"/>
                        <w:bottom w:val="none" w:sz="0" w:space="0" w:color="auto"/>
                        <w:right w:val="none" w:sz="0" w:space="0" w:color="auto"/>
                      </w:divBdr>
                      <w:divsChild>
                        <w:div w:id="1798184500">
                          <w:marLeft w:val="-15"/>
                          <w:marRight w:val="3585"/>
                          <w:marTop w:val="0"/>
                          <w:marBottom w:val="0"/>
                          <w:divBdr>
                            <w:top w:val="none" w:sz="0" w:space="0" w:color="auto"/>
                            <w:left w:val="none" w:sz="0" w:space="0" w:color="auto"/>
                            <w:bottom w:val="none" w:sz="0" w:space="0" w:color="auto"/>
                            <w:right w:val="none" w:sz="0" w:space="0" w:color="auto"/>
                          </w:divBdr>
                          <w:divsChild>
                            <w:div w:id="242296220">
                              <w:marLeft w:val="-210"/>
                              <w:marRight w:val="-210"/>
                              <w:marTop w:val="0"/>
                              <w:marBottom w:val="540"/>
                              <w:divBdr>
                                <w:top w:val="none" w:sz="0" w:space="0" w:color="auto"/>
                                <w:left w:val="none" w:sz="0" w:space="0" w:color="auto"/>
                                <w:bottom w:val="none" w:sz="0" w:space="0" w:color="auto"/>
                                <w:right w:val="none" w:sz="0" w:space="0" w:color="auto"/>
                              </w:divBdr>
                              <w:divsChild>
                                <w:div w:id="242034678">
                                  <w:marLeft w:val="0"/>
                                  <w:marRight w:val="0"/>
                                  <w:marTop w:val="0"/>
                                  <w:marBottom w:val="0"/>
                                  <w:divBdr>
                                    <w:top w:val="none" w:sz="0" w:space="0" w:color="auto"/>
                                    <w:left w:val="none" w:sz="0" w:space="0" w:color="auto"/>
                                    <w:bottom w:val="none" w:sz="0" w:space="0" w:color="auto"/>
                                    <w:right w:val="none" w:sz="0" w:space="0" w:color="auto"/>
                                  </w:divBdr>
                                  <w:divsChild>
                                    <w:div w:id="1786920644">
                                      <w:marLeft w:val="0"/>
                                      <w:marRight w:val="0"/>
                                      <w:marTop w:val="0"/>
                                      <w:marBottom w:val="0"/>
                                      <w:divBdr>
                                        <w:top w:val="none" w:sz="0" w:space="0" w:color="auto"/>
                                        <w:left w:val="none" w:sz="0" w:space="0" w:color="auto"/>
                                        <w:bottom w:val="none" w:sz="0" w:space="0" w:color="auto"/>
                                        <w:right w:val="none" w:sz="0" w:space="0" w:color="auto"/>
                                      </w:divBdr>
                                      <w:divsChild>
                                        <w:div w:id="20195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8081050">
      <w:bodyDiv w:val="1"/>
      <w:marLeft w:val="0"/>
      <w:marRight w:val="0"/>
      <w:marTop w:val="0"/>
      <w:marBottom w:val="0"/>
      <w:divBdr>
        <w:top w:val="none" w:sz="0" w:space="0" w:color="auto"/>
        <w:left w:val="none" w:sz="0" w:space="0" w:color="auto"/>
        <w:bottom w:val="none" w:sz="0" w:space="0" w:color="auto"/>
        <w:right w:val="none" w:sz="0" w:space="0" w:color="auto"/>
      </w:divBdr>
    </w:div>
    <w:div w:id="628316542">
      <w:bodyDiv w:val="1"/>
      <w:marLeft w:val="0"/>
      <w:marRight w:val="0"/>
      <w:marTop w:val="0"/>
      <w:marBottom w:val="0"/>
      <w:divBdr>
        <w:top w:val="none" w:sz="0" w:space="0" w:color="auto"/>
        <w:left w:val="none" w:sz="0" w:space="0" w:color="auto"/>
        <w:bottom w:val="none" w:sz="0" w:space="0" w:color="auto"/>
        <w:right w:val="none" w:sz="0" w:space="0" w:color="auto"/>
      </w:divBdr>
    </w:div>
    <w:div w:id="1463965438">
      <w:bodyDiv w:val="1"/>
      <w:marLeft w:val="0"/>
      <w:marRight w:val="0"/>
      <w:marTop w:val="0"/>
      <w:marBottom w:val="0"/>
      <w:divBdr>
        <w:top w:val="none" w:sz="0" w:space="0" w:color="auto"/>
        <w:left w:val="none" w:sz="0" w:space="0" w:color="auto"/>
        <w:bottom w:val="none" w:sz="0" w:space="0" w:color="auto"/>
        <w:right w:val="none" w:sz="0" w:space="0" w:color="auto"/>
      </w:divBdr>
    </w:div>
    <w:div w:id="1588149185">
      <w:bodyDiv w:val="1"/>
      <w:marLeft w:val="0"/>
      <w:marRight w:val="0"/>
      <w:marTop w:val="0"/>
      <w:marBottom w:val="0"/>
      <w:divBdr>
        <w:top w:val="none" w:sz="0" w:space="0" w:color="auto"/>
        <w:left w:val="none" w:sz="0" w:space="0" w:color="auto"/>
        <w:bottom w:val="none" w:sz="0" w:space="0" w:color="auto"/>
        <w:right w:val="none" w:sz="0" w:space="0" w:color="auto"/>
      </w:divBdr>
    </w:div>
    <w:div w:id="1816141310">
      <w:bodyDiv w:val="1"/>
      <w:marLeft w:val="0"/>
      <w:marRight w:val="0"/>
      <w:marTop w:val="0"/>
      <w:marBottom w:val="0"/>
      <w:divBdr>
        <w:top w:val="none" w:sz="0" w:space="0" w:color="auto"/>
        <w:left w:val="none" w:sz="0" w:space="0" w:color="auto"/>
        <w:bottom w:val="none" w:sz="0" w:space="0" w:color="auto"/>
        <w:right w:val="none" w:sz="0" w:space="0" w:color="auto"/>
      </w:divBdr>
    </w:div>
    <w:div w:id="2060978409">
      <w:bodyDiv w:val="1"/>
      <w:marLeft w:val="0"/>
      <w:marRight w:val="0"/>
      <w:marTop w:val="0"/>
      <w:marBottom w:val="0"/>
      <w:divBdr>
        <w:top w:val="none" w:sz="0" w:space="0" w:color="auto"/>
        <w:left w:val="none" w:sz="0" w:space="0" w:color="auto"/>
        <w:bottom w:val="none" w:sz="0" w:space="0" w:color="auto"/>
        <w:right w:val="none" w:sz="0" w:space="0" w:color="auto"/>
      </w:divBdr>
      <w:divsChild>
        <w:div w:id="1578712355">
          <w:marLeft w:val="0"/>
          <w:marRight w:val="0"/>
          <w:marTop w:val="0"/>
          <w:marBottom w:val="0"/>
          <w:divBdr>
            <w:top w:val="none" w:sz="0" w:space="0" w:color="auto"/>
            <w:left w:val="none" w:sz="0" w:space="0" w:color="auto"/>
            <w:bottom w:val="none" w:sz="0" w:space="0" w:color="auto"/>
            <w:right w:val="none" w:sz="0" w:space="0" w:color="auto"/>
          </w:divBdr>
          <w:divsChild>
            <w:div w:id="198666610">
              <w:marLeft w:val="0"/>
              <w:marRight w:val="0"/>
              <w:marTop w:val="0"/>
              <w:marBottom w:val="0"/>
              <w:divBdr>
                <w:top w:val="none" w:sz="0" w:space="0" w:color="auto"/>
                <w:left w:val="none" w:sz="0" w:space="0" w:color="auto"/>
                <w:bottom w:val="none" w:sz="0" w:space="0" w:color="auto"/>
                <w:right w:val="none" w:sz="0" w:space="0" w:color="auto"/>
              </w:divBdr>
              <w:divsChild>
                <w:div w:id="1031152246">
                  <w:marLeft w:val="0"/>
                  <w:marRight w:val="0"/>
                  <w:marTop w:val="0"/>
                  <w:marBottom w:val="0"/>
                  <w:divBdr>
                    <w:top w:val="none" w:sz="0" w:space="0" w:color="auto"/>
                    <w:left w:val="none" w:sz="0" w:space="0" w:color="auto"/>
                    <w:bottom w:val="none" w:sz="0" w:space="0" w:color="auto"/>
                    <w:right w:val="none" w:sz="0" w:space="0" w:color="auto"/>
                  </w:divBdr>
                  <w:divsChild>
                    <w:div w:id="329480789">
                      <w:marLeft w:val="0"/>
                      <w:marRight w:val="-4019"/>
                      <w:marTop w:val="0"/>
                      <w:marBottom w:val="0"/>
                      <w:divBdr>
                        <w:top w:val="none" w:sz="0" w:space="0" w:color="auto"/>
                        <w:left w:val="none" w:sz="0" w:space="0" w:color="auto"/>
                        <w:bottom w:val="none" w:sz="0" w:space="0" w:color="auto"/>
                        <w:right w:val="none" w:sz="0" w:space="0" w:color="auto"/>
                      </w:divBdr>
                      <w:divsChild>
                        <w:div w:id="421610568">
                          <w:marLeft w:val="-17"/>
                          <w:marRight w:val="4002"/>
                          <w:marTop w:val="0"/>
                          <w:marBottom w:val="0"/>
                          <w:divBdr>
                            <w:top w:val="none" w:sz="0" w:space="0" w:color="auto"/>
                            <w:left w:val="none" w:sz="0" w:space="0" w:color="auto"/>
                            <w:bottom w:val="none" w:sz="0" w:space="0" w:color="auto"/>
                            <w:right w:val="none" w:sz="0" w:space="0" w:color="auto"/>
                          </w:divBdr>
                          <w:divsChild>
                            <w:div w:id="240021793">
                              <w:marLeft w:val="-234"/>
                              <w:marRight w:val="-234"/>
                              <w:marTop w:val="0"/>
                              <w:marBottom w:val="603"/>
                              <w:divBdr>
                                <w:top w:val="none" w:sz="0" w:space="0" w:color="auto"/>
                                <w:left w:val="none" w:sz="0" w:space="0" w:color="auto"/>
                                <w:bottom w:val="none" w:sz="0" w:space="0" w:color="auto"/>
                                <w:right w:val="none" w:sz="0" w:space="0" w:color="auto"/>
                              </w:divBdr>
                              <w:divsChild>
                                <w:div w:id="1900052192">
                                  <w:marLeft w:val="0"/>
                                  <w:marRight w:val="0"/>
                                  <w:marTop w:val="0"/>
                                  <w:marBottom w:val="0"/>
                                  <w:divBdr>
                                    <w:top w:val="none" w:sz="0" w:space="0" w:color="auto"/>
                                    <w:left w:val="none" w:sz="0" w:space="0" w:color="auto"/>
                                    <w:bottom w:val="none" w:sz="0" w:space="0" w:color="auto"/>
                                    <w:right w:val="none" w:sz="0" w:space="0" w:color="auto"/>
                                  </w:divBdr>
                                  <w:divsChild>
                                    <w:div w:id="1358699498">
                                      <w:marLeft w:val="0"/>
                                      <w:marRight w:val="0"/>
                                      <w:marTop w:val="0"/>
                                      <w:marBottom w:val="0"/>
                                      <w:divBdr>
                                        <w:top w:val="none" w:sz="0" w:space="0" w:color="auto"/>
                                        <w:left w:val="none" w:sz="0" w:space="0" w:color="auto"/>
                                        <w:bottom w:val="none" w:sz="0" w:space="0" w:color="auto"/>
                                        <w:right w:val="none" w:sz="0" w:space="0" w:color="auto"/>
                                      </w:divBdr>
                                      <w:divsChild>
                                        <w:div w:id="18342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content/10600000/000331838.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A5E0C-A997-412A-BBB7-A081FDAEA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2718</CharactersWithSpaces>
  <SharedDoc>false</SharedDoc>
  <HLinks>
    <vt:vector size="12" baseType="variant">
      <vt:variant>
        <vt:i4>4784248</vt:i4>
      </vt:variant>
      <vt:variant>
        <vt:i4>3</vt:i4>
      </vt:variant>
      <vt:variant>
        <vt:i4>0</vt:i4>
      </vt:variant>
      <vt:variant>
        <vt:i4>5</vt:i4>
      </vt:variant>
      <vt:variant>
        <vt:lpwstr>http://wwwhourei.mhlw.go.jp/cgi-bin/t_docframe.cgi?MODE=hourei&amp;DMODE=CONTENTS&amp;SMODE=NORMAL&amp;KEYWORD=&amp;EFSNO=2182</vt:lpwstr>
      </vt:variant>
      <vt:variant>
        <vt:lpwstr/>
      </vt:variant>
      <vt:variant>
        <vt:i4>6422638</vt:i4>
      </vt:variant>
      <vt:variant>
        <vt:i4>0</vt:i4>
      </vt:variant>
      <vt:variant>
        <vt:i4>0</vt:i4>
      </vt:variant>
      <vt:variant>
        <vt:i4>5</vt:i4>
      </vt:variant>
      <vt:variant>
        <vt:lpwstr>http://www.mhlw.go.jp/stf/houdou/2r98520000015ldp.html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正男(matsumoto-masao)</dc:creator>
  <cp:lastModifiedBy>島田 千鶴(shimada-chizuru)</cp:lastModifiedBy>
  <cp:revision>2</cp:revision>
  <cp:lastPrinted>2019-03-27T07:34:00Z</cp:lastPrinted>
  <dcterms:created xsi:type="dcterms:W3CDTF">2019-03-27T07:34:00Z</dcterms:created>
  <dcterms:modified xsi:type="dcterms:W3CDTF">2019-03-27T07:34:00Z</dcterms:modified>
</cp:coreProperties>
</file>