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6CA8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E6E">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F05A93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D0E6E">
              <w:rPr>
                <w:rFonts w:hint="eastAsia"/>
                <w:color w:val="auto"/>
                <w:sz w:val="32"/>
                <w:szCs w:val="32"/>
              </w:rPr>
              <w:t>包括期充実体制加算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46AA53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0E6E">
              <w:rPr>
                <w:rFonts w:hAnsi="Times New Roman" w:cs="Times New Roman" w:hint="eastAsia"/>
                <w:spacing w:val="4"/>
                <w:sz w:val="20"/>
                <w:szCs w:val="20"/>
              </w:rPr>
              <w:t>1-043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2D0E6E"/>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16A3C"/>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414EFD8B-B681-49B1-8682-0E1115C4542C}"/>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467500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