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13B30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32C0">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5FB20A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432C0">
              <w:rPr>
                <w:rFonts w:hint="eastAsia"/>
                <w:color w:val="auto"/>
                <w:sz w:val="32"/>
                <w:szCs w:val="32"/>
              </w:rPr>
              <w:t>精神科身体合併症管理加算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6804F3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32C0">
              <w:rPr>
                <w:rFonts w:hAnsi="Times New Roman" w:cs="Times New Roman" w:hint="eastAsia"/>
                <w:spacing w:val="4"/>
                <w:sz w:val="20"/>
                <w:szCs w:val="20"/>
              </w:rPr>
              <w:t>1-077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20E7"/>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432C0"/>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4C56D8FE-C044-4E5B-9AB3-159EB89D6B9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