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264C6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0C7A">
              <w:rPr>
                <w:rFonts w:hAnsi="Times New Roman" w:cs="Times New Roman" w:hint="eastAsia"/>
                <w:color w:val="auto"/>
                <w:spacing w:val="4"/>
                <w:sz w:val="16"/>
                <w:szCs w:val="16"/>
              </w:rPr>
              <w:t>精慢合併</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1C86B3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550C7A">
              <w:rPr>
                <w:rFonts w:hint="eastAsia"/>
                <w:color w:val="auto"/>
                <w:sz w:val="32"/>
                <w:szCs w:val="32"/>
              </w:rPr>
              <w:t>精神科慢性身体合併症管理加算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6C0A34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0C7A">
              <w:rPr>
                <w:rFonts w:hAnsi="Times New Roman" w:cs="Times New Roman" w:hint="eastAsia"/>
                <w:spacing w:val="4"/>
                <w:sz w:val="20"/>
                <w:szCs w:val="20"/>
              </w:rPr>
              <w:t>1-080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0C7A"/>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B7460"/>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43983-9310-4705-8758-5FF1AB83B583}"/>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471000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