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63D1FD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1FAA">
              <w:rPr>
                <w:rFonts w:hAnsi="Times New Roman" w:cs="Times New Roman" w:hint="eastAsia"/>
                <w:color w:val="auto"/>
                <w:spacing w:val="4"/>
                <w:sz w:val="16"/>
                <w:szCs w:val="16"/>
              </w:rPr>
              <w:t>地医確保２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B78D4E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2A1FAA">
              <w:rPr>
                <w:rFonts w:hint="eastAsia"/>
                <w:color w:val="auto"/>
                <w:sz w:val="32"/>
                <w:szCs w:val="32"/>
              </w:rPr>
              <w:t>地域医療体制確保加算２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56C732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1FAA">
              <w:rPr>
                <w:rFonts w:hAnsi="Times New Roman" w:cs="Times New Roman" w:hint="eastAsia"/>
                <w:spacing w:val="4"/>
                <w:sz w:val="20"/>
                <w:szCs w:val="20"/>
              </w:rPr>
              <w:t>1-123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1FAA"/>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3D9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ED5A1BD4-9BE0-465A-9C68-A92BDDE16556}"/>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479100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