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4ACC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41A">
              <w:rPr>
                <w:rFonts w:hAnsi="Times New Roman" w:cs="Times New Roman" w:hint="eastAsia"/>
                <w:color w:val="auto"/>
                <w:spacing w:val="4"/>
                <w:sz w:val="16"/>
                <w:szCs w:val="16"/>
              </w:rPr>
              <w:t>充管糖１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2792142" w14:textId="77777777" w:rsidR="00C242A3" w:rsidRDefault="006421D2" w:rsidP="00C242A3">
            <w:pPr>
              <w:kinsoku w:val="0"/>
              <w:autoSpaceDE w:val="0"/>
              <w:autoSpaceDN w:val="0"/>
              <w:spacing w:line="464" w:lineRule="exact"/>
              <w:ind w:leftChars="100" w:left="200" w:firstLineChars="12" w:firstLine="40"/>
              <w:rPr>
                <w:sz w:val="32"/>
                <w:szCs w:val="32"/>
              </w:rPr>
            </w:pPr>
            <w:r w:rsidRPr="002000AE">
              <w:rPr>
                <w:rFonts w:hint="eastAsia"/>
                <w:sz w:val="32"/>
                <w:szCs w:val="32"/>
              </w:rPr>
              <w:t>［</w:t>
            </w:r>
            <w:r w:rsidR="007155D3" w:rsidRPr="00977139">
              <w:rPr>
                <w:rFonts w:hint="eastAsia"/>
                <w:color w:val="auto"/>
                <w:sz w:val="32"/>
                <w:szCs w:val="32"/>
              </w:rPr>
              <w:t xml:space="preserve"> </w:t>
            </w:r>
            <w:r w:rsidR="0066241A">
              <w:rPr>
                <w:rFonts w:hint="eastAsia"/>
                <w:color w:val="auto"/>
                <w:sz w:val="32"/>
                <w:szCs w:val="32"/>
              </w:rPr>
              <w:t>充実管理加算１（糖尿病を主病とする場合）</w:t>
            </w:r>
            <w:r w:rsidR="007155D3" w:rsidRPr="00977139">
              <w:rPr>
                <w:rFonts w:hint="eastAsia"/>
                <w:sz w:val="32"/>
                <w:szCs w:val="32"/>
              </w:rPr>
              <w:t xml:space="preserve"> </w:t>
            </w:r>
            <w:r w:rsidRPr="002000AE">
              <w:rPr>
                <w:rFonts w:hint="eastAsia"/>
                <w:sz w:val="32"/>
                <w:szCs w:val="32"/>
              </w:rPr>
              <w:t>］</w:t>
            </w:r>
          </w:p>
          <w:p w14:paraId="04A4D321" w14:textId="60792479" w:rsidR="006421D2" w:rsidRDefault="006421D2" w:rsidP="00C242A3">
            <w:pPr>
              <w:kinsoku w:val="0"/>
              <w:autoSpaceDE w:val="0"/>
              <w:autoSpaceDN w:val="0"/>
              <w:spacing w:line="464" w:lineRule="exact"/>
              <w:ind w:leftChars="100" w:left="200" w:firstLineChars="112" w:firstLine="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483DE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241A">
              <w:rPr>
                <w:rFonts w:hAnsi="Times New Roman" w:cs="Times New Roman" w:hint="eastAsia"/>
                <w:spacing w:val="4"/>
                <w:sz w:val="20"/>
                <w:szCs w:val="20"/>
              </w:rPr>
              <w:t>2-054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6B6F" w14:textId="77777777" w:rsidR="002E34EA" w:rsidRDefault="002E34EA">
      <w:r>
        <w:separator/>
      </w:r>
    </w:p>
  </w:endnote>
  <w:endnote w:type="continuationSeparator" w:id="0">
    <w:p w14:paraId="573F48E6" w14:textId="77777777" w:rsidR="002E34EA" w:rsidRDefault="002E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CBCC" w14:textId="77777777" w:rsidR="002E34EA" w:rsidRDefault="002E34EA">
      <w:r>
        <w:rPr>
          <w:rFonts w:hAnsi="Times New Roman" w:cs="Times New Roman"/>
          <w:color w:val="auto"/>
          <w:sz w:val="2"/>
          <w:szCs w:val="2"/>
        </w:rPr>
        <w:continuationSeparator/>
      </w:r>
    </w:p>
  </w:footnote>
  <w:footnote w:type="continuationSeparator" w:id="0">
    <w:p w14:paraId="405BF622" w14:textId="77777777" w:rsidR="002E34EA" w:rsidRDefault="002E3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1B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E34EA"/>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6241A"/>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95F6B"/>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871D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42A3"/>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958C0277-D412-426F-BD05-69B299B9D2B6}"/>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