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0BBC1181"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0594">
              <w:rPr>
                <w:rFonts w:hAnsi="Times New Roman" w:cs="Times New Roman" w:hint="eastAsia"/>
                <w:color w:val="auto"/>
                <w:spacing w:val="4"/>
                <w:sz w:val="16"/>
                <w:szCs w:val="16"/>
              </w:rPr>
              <w:t>ハイ妊連２</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785C1728"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BD0594">
              <w:rPr>
                <w:rFonts w:hint="eastAsia"/>
                <w:color w:val="auto"/>
                <w:sz w:val="32"/>
                <w:szCs w:val="32"/>
              </w:rPr>
              <w:t>ハイリスク妊産婦連携指導料２</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5CD36D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0594">
              <w:rPr>
                <w:rFonts w:hAnsi="Times New Roman" w:cs="Times New Roman" w:hint="eastAsia"/>
                <w:spacing w:val="4"/>
                <w:sz w:val="20"/>
                <w:szCs w:val="20"/>
              </w:rPr>
              <w:t>2-076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24B6"/>
    <w:rsid w:val="00657CD8"/>
    <w:rsid w:val="006636CB"/>
    <w:rsid w:val="00696BC3"/>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D0594"/>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3.xml><?xml version="1.0" encoding="utf-8"?>
<ds:datastoreItem xmlns:ds="http://schemas.openxmlformats.org/officeDocument/2006/customXml" ds:itemID="{94FA903D-1840-42DF-912C-5C2F4760C8B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