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A059D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1049">
              <w:rPr>
                <w:rFonts w:hAnsi="Times New Roman" w:cs="Times New Roman" w:hint="eastAsia"/>
                <w:color w:val="auto"/>
                <w:spacing w:val="4"/>
                <w:sz w:val="16"/>
                <w:szCs w:val="16"/>
              </w:rPr>
              <w:t>咀嚼機能</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5121A5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A51049">
              <w:rPr>
                <w:rFonts w:hint="eastAsia"/>
                <w:color w:val="auto"/>
                <w:sz w:val="32"/>
                <w:szCs w:val="32"/>
              </w:rPr>
              <w:t>有床義歯咀嚼機能検査</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A3A3353"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A51049">
              <w:rPr>
                <w:rFonts w:hAnsi="Times New Roman" w:cs="Times New Roman" w:hint="eastAsia"/>
                <w:spacing w:val="4"/>
                <w:sz w:val="20"/>
                <w:szCs w:val="20"/>
              </w:rPr>
              <w:t>2-184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51049"/>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D6AE1"/>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3572C43D-1BC2-4C83-B667-62F49C06D81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2026-03-16T00:56:00Z</dcterms:created>
  <dcterms:modified xsi:type="dcterms:W3CDTF">2026-03-16T00:56:00Z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500800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