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121A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0CE0">
              <w:rPr>
                <w:rFonts w:hAnsi="Times New Roman" w:cs="Times New Roman" w:hint="eastAsia"/>
                <w:color w:val="auto"/>
                <w:spacing w:val="4"/>
                <w:sz w:val="16"/>
                <w:szCs w:val="16"/>
              </w:rPr>
              <w:t>早充実２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60F721" w14:textId="77777777" w:rsidR="00B10F2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80CE0">
              <w:rPr>
                <w:rFonts w:hint="eastAsia"/>
                <w:color w:val="auto"/>
                <w:sz w:val="32"/>
                <w:szCs w:val="32"/>
              </w:rPr>
              <w:t>通院・在宅精神療法の注11に規定する</w:t>
            </w:r>
          </w:p>
          <w:p w14:paraId="04A4D321" w14:textId="2BCB0A90" w:rsidR="006421D2" w:rsidRDefault="00F80CE0" w:rsidP="001242AD">
            <w:pPr>
              <w:kinsoku w:val="0"/>
              <w:autoSpaceDE w:val="0"/>
              <w:autoSpaceDN w:val="0"/>
              <w:spacing w:line="464" w:lineRule="exact"/>
              <w:ind w:firstLineChars="112" w:firstLine="370"/>
            </w:pPr>
            <w:r>
              <w:rPr>
                <w:rFonts w:hint="eastAsia"/>
                <w:color w:val="auto"/>
                <w:sz w:val="32"/>
                <w:szCs w:val="32"/>
              </w:rPr>
              <w:t>早期診療体制充実加算２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C70C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0CE0">
              <w:rPr>
                <w:rFonts w:hAnsi="Times New Roman" w:cs="Times New Roman" w:hint="eastAsia"/>
                <w:spacing w:val="4"/>
                <w:sz w:val="20"/>
                <w:szCs w:val="20"/>
              </w:rPr>
              <w:t>2-247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56216"/>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E1C71"/>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10F29"/>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12D73"/>
    <w:rsid w:val="00F80CE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C58B3BB0-CAAD-4AB5-BFDD-CE5956C9EB08}"/>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275</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