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F6B90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6EC3">
              <w:rPr>
                <w:rFonts w:hAnsi="Times New Roman" w:cs="Times New Roman" w:hint="eastAsia"/>
                <w:color w:val="auto"/>
                <w:spacing w:val="4"/>
                <w:sz w:val="16"/>
                <w:szCs w:val="16"/>
              </w:rPr>
              <w:t>ＧＴＲ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4FB25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46EC3">
              <w:rPr>
                <w:rFonts w:hint="eastAsia"/>
                <w:color w:val="auto"/>
                <w:sz w:val="32"/>
                <w:szCs w:val="32"/>
              </w:rPr>
              <w:t>歯周組織再生誘導手術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F18B3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6EC3">
              <w:rPr>
                <w:rFonts w:hAnsi="Times New Roman" w:cs="Times New Roman" w:hint="eastAsia"/>
                <w:spacing w:val="4"/>
                <w:sz w:val="20"/>
                <w:szCs w:val="20"/>
              </w:rPr>
              <w:t>2-538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46EC3"/>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071EF"/>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3F16F97B-DA75-46BA-A9F5-CD35E8887FD1}"/>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2026-03-16T01:11:00Z</dcterms:created>
  <dcterms:modified xsi:type="dcterms:W3CDTF">2026-03-16T01:11:00Z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523300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