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C1F3B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6C3C">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16C3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85B0B5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16C3C">
              <w:rPr>
                <w:rFonts w:hint="eastAsia"/>
                <w:color w:val="auto"/>
                <w:sz w:val="36"/>
                <w:szCs w:val="36"/>
              </w:rPr>
              <w:t>早期診療体制充実加算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0FA8A0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6C3C">
              <w:rPr>
                <w:rFonts w:hAnsi="Times New Roman" w:cs="Times New Roman" w:hint="eastAsia"/>
                <w:spacing w:val="4"/>
                <w:sz w:val="20"/>
                <w:szCs w:val="20"/>
              </w:rPr>
              <w:t>2-220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16C3C"/>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2ED77C-290A-4836-B559-00941A232B46}"/>
</file>

<file path=customXml/itemProps2.xml><?xml version="1.0" encoding="utf-8"?>
<ds:datastoreItem xmlns:ds="http://schemas.openxmlformats.org/officeDocument/2006/customXml" ds:itemID="{D8B99D8E-8B39-4B21-901D-544B61F66206}"/>
</file>

<file path=customXml/itemProps3.xml><?xml version="1.0" encoding="utf-8"?>
<ds:datastoreItem xmlns:ds="http://schemas.openxmlformats.org/officeDocument/2006/customXml" ds:itemID="{43940836-DCA8-4324-8B3A-3E64959AE35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