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5264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3BDE">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23BD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049D8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23BDE">
              <w:rPr>
                <w:rFonts w:hint="eastAsia"/>
                <w:color w:val="auto"/>
                <w:sz w:val="36"/>
                <w:szCs w:val="36"/>
              </w:rPr>
              <w:t>救急患者精神科継続支援料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66D70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23BDE">
              <w:rPr>
                <w:rFonts w:hAnsi="Times New Roman" w:cs="Times New Roman" w:hint="eastAsia"/>
                <w:spacing w:val="4"/>
                <w:sz w:val="20"/>
                <w:szCs w:val="20"/>
              </w:rPr>
              <w:t>2-222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3BDE"/>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BC5767-AFA4-468F-9E3F-7EF14873EBED}"/>
</file>

<file path=customXml/itemProps2.xml><?xml version="1.0" encoding="utf-8"?>
<ds:datastoreItem xmlns:ds="http://schemas.openxmlformats.org/officeDocument/2006/customXml" ds:itemID="{42645C30-BA20-4188-BFAC-2F203F6BD34D}"/>
</file>

<file path=customXml/itemProps3.xml><?xml version="1.0" encoding="utf-8"?>
<ds:datastoreItem xmlns:ds="http://schemas.openxmlformats.org/officeDocument/2006/customXml" ds:itemID="{7F459520-61F7-4B52-AE56-3F33B61D504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