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DD37D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2939">
              <w:rPr>
                <w:rFonts w:hAnsi="Times New Roman" w:cs="Times New Roman" w:hint="eastAsia"/>
                <w:color w:val="auto"/>
                <w:spacing w:val="4"/>
                <w:sz w:val="16"/>
                <w:szCs w:val="16"/>
              </w:rPr>
              <w:t>時間外３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F293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9FCF59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F2939">
              <w:rPr>
                <w:rFonts w:hint="eastAsia"/>
                <w:color w:val="auto"/>
                <w:sz w:val="36"/>
                <w:szCs w:val="36"/>
              </w:rPr>
              <w:t>時間外対応体制加算３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5233EB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2939">
              <w:rPr>
                <w:rFonts w:hAnsi="Times New Roman" w:cs="Times New Roman" w:hint="eastAsia"/>
                <w:spacing w:val="4"/>
                <w:sz w:val="20"/>
                <w:szCs w:val="20"/>
              </w:rPr>
              <w:t>1-012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64CD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2939"/>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81A0A-3954-4EEF-973A-100E8EB7721D}"/>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