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36F62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783C">
              <w:rPr>
                <w:rFonts w:hAnsi="Times New Roman" w:cs="Times New Roman" w:hint="eastAsia"/>
                <w:color w:val="auto"/>
                <w:spacing w:val="4"/>
                <w:sz w:val="16"/>
                <w:szCs w:val="16"/>
              </w:rPr>
              <w:t>精疾診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82783C">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4A5C80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82783C">
              <w:rPr>
                <w:rFonts w:hint="eastAsia"/>
                <w:color w:val="auto"/>
                <w:sz w:val="36"/>
                <w:szCs w:val="36"/>
              </w:rPr>
              <w:t>精神疾患診療体制加算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D4DC24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2783C">
              <w:rPr>
                <w:rFonts w:hAnsi="Times New Roman" w:cs="Times New Roman" w:hint="eastAsia"/>
                <w:spacing w:val="4"/>
                <w:sz w:val="20"/>
                <w:szCs w:val="20"/>
              </w:rPr>
              <w:t>1-119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2783C"/>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365D4"/>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3F2C5-C83D-4F12-856F-7B5E928F6509}"/>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2026-03-13T05:15:00Z</dcterms:created>
  <dcterms:modified xsi:type="dcterms:W3CDTF">2026-03-13T05:15:00Z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