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E9BE6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6C82">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EA6C82">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34DC56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A6C82">
              <w:rPr>
                <w:rFonts w:hint="eastAsia"/>
                <w:sz w:val="32"/>
                <w:szCs w:val="32"/>
              </w:rPr>
              <w:t>精神科救急・合併症入院料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EA6C82"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7B8D58C2" w:rsidR="00120672" w:rsidRPr="00A532FB" w:rsidRDefault="00EA6C82"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告示注４（看護職員夜間配置加算）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B7D530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A6C82">
              <w:rPr>
                <w:rFonts w:hAnsi="Times New Roman" w:cs="Times New Roman" w:hint="eastAsia"/>
                <w:spacing w:val="4"/>
                <w:sz w:val="20"/>
                <w:szCs w:val="20"/>
              </w:rPr>
              <w:t>1-175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017B"/>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A6C82"/>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6E815-096A-4013-A3AF-C52F32D52E17}"/>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2026-03-13T05:44:00Z</dcterms:created>
  <dcterms:modified xsi:type="dcterms:W3CDTF">2026-03-13T05:44:00Z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