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FBD98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3353F">
              <w:rPr>
                <w:rFonts w:hAnsi="Times New Roman" w:cs="Times New Roman" w:hint="eastAsia"/>
                <w:color w:val="auto"/>
                <w:spacing w:val="4"/>
                <w:sz w:val="16"/>
                <w:szCs w:val="16"/>
              </w:rPr>
              <w:t>粒適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3353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947454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3353F">
              <w:rPr>
                <w:rFonts w:hint="eastAsia"/>
                <w:color w:val="auto"/>
                <w:sz w:val="36"/>
                <w:szCs w:val="36"/>
              </w:rPr>
              <w:t>粒子線治療適応判定加算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D9F9C3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3353F">
              <w:rPr>
                <w:rFonts w:hAnsi="Times New Roman" w:cs="Times New Roman" w:hint="eastAsia"/>
                <w:spacing w:val="4"/>
                <w:sz w:val="20"/>
                <w:szCs w:val="20"/>
              </w:rPr>
              <w:t>2-564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3353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6769A"/>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52B30A66-C30E-4EA5-92CC-BD9CE05E543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2026-03-16T03:09:00Z</dcterms:created>
  <dcterms:modified xsi:type="dcterms:W3CDTF">2026-03-16T03:09:00Z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