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B04D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485">
              <w:rPr>
                <w:rFonts w:hAnsi="Times New Roman" w:cs="Times New Roman" w:hint="eastAsia"/>
                <w:color w:val="auto"/>
                <w:spacing w:val="4"/>
                <w:sz w:val="16"/>
                <w:szCs w:val="16"/>
              </w:rPr>
              <w:t>特薬管２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764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96D78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76485">
              <w:rPr>
                <w:rFonts w:hint="eastAsia"/>
                <w:color w:val="auto"/>
                <w:sz w:val="36"/>
                <w:szCs w:val="36"/>
              </w:rPr>
              <w:t>特定薬剤管理指導加算２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D1EC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6485">
              <w:rPr>
                <w:rFonts w:hAnsi="Times New Roman" w:cs="Times New Roman" w:hint="eastAsia"/>
                <w:spacing w:val="4"/>
                <w:sz w:val="20"/>
                <w:szCs w:val="20"/>
              </w:rPr>
              <w:t>2-603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54EC"/>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6485"/>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43908-57F6-47C0-AA60-187ECF643CE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2026-03-16T03:13:00Z</dcterms:created>
  <dcterms:modified xsi:type="dcterms:W3CDTF">2026-03-16T03:13:00Z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