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4265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27C5">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1CCB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27C5">
              <w:rPr>
                <w:rFonts w:hint="eastAsia"/>
                <w:color w:val="auto"/>
                <w:sz w:val="32"/>
                <w:szCs w:val="32"/>
              </w:rPr>
              <w:t>術後疼痛管理チーム加算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C516C8A" w:rsidR="006421D2" w:rsidRDefault="006421D2">
            <w:pPr>
              <w:kinsoku w:val="0"/>
              <w:autoSpaceDE w:val="0"/>
              <w:autoSpaceDN w:val="0"/>
              <w:spacing w:line="274" w:lineRule="atLeast"/>
              <w:rPr>
                <w:sz w:val="20"/>
                <w:szCs w:val="20"/>
              </w:rPr>
            </w:pPr>
            <w:r w:rsidRPr="001F5B58">
              <w:rPr>
                <w:sz w:val="20"/>
                <w:szCs w:val="20"/>
              </w:rPr>
              <w:t xml:space="preserve">    </w:t>
            </w:r>
            <w:r w:rsidR="006410FE">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10FE"/>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027C5"/>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