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C984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8F7">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CA2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28F7">
              <w:rPr>
                <w:rFonts w:hint="eastAsia"/>
                <w:color w:val="auto"/>
                <w:sz w:val="32"/>
                <w:szCs w:val="32"/>
              </w:rPr>
              <w:t>救急患者精神科継続支援料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6F4FBF" w:rsidR="006421D2" w:rsidRDefault="006421D2">
            <w:pPr>
              <w:kinsoku w:val="0"/>
              <w:autoSpaceDE w:val="0"/>
              <w:autoSpaceDN w:val="0"/>
              <w:spacing w:line="274" w:lineRule="atLeast"/>
              <w:rPr>
                <w:sz w:val="20"/>
                <w:szCs w:val="20"/>
              </w:rPr>
            </w:pPr>
            <w:r w:rsidRPr="001F5B58">
              <w:rPr>
                <w:sz w:val="20"/>
                <w:szCs w:val="20"/>
              </w:rPr>
              <w:t xml:space="preserve">    </w:t>
            </w:r>
            <w:r w:rsidR="0094658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28F7"/>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658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2024-03-08T04:28:00Z</dcterms:created>
  <dcterms:modified xsi:type="dcterms:W3CDTF">2024-03-11T10:44:00Z</dcterms:modified>
</cp:coreProperties>
</file>