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4A60711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AA2E68">
              <w:rPr>
                <w:rFonts w:hint="eastAsia"/>
                <w:sz w:val="20"/>
                <w:szCs w:val="20"/>
              </w:rPr>
              <w:t>四国厚生支局長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