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0A83A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9125A">
              <w:rPr>
                <w:rFonts w:hAnsi="Times New Roman" w:cs="Times New Roman" w:hint="eastAsia"/>
                <w:color w:val="auto"/>
                <w:spacing w:val="4"/>
                <w:sz w:val="16"/>
                <w:szCs w:val="16"/>
                <w:lang w:eastAsia="zh-CN"/>
              </w:rPr>
              <w:t>歯画２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86F10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9125A">
              <w:rPr>
                <w:rFonts w:hint="eastAsia"/>
                <w:color w:val="auto"/>
                <w:sz w:val="36"/>
                <w:szCs w:val="36"/>
              </w:rPr>
              <w:t>歯科画像診断管理加算２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CC6A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125A">
              <w:rPr>
                <w:rFonts w:hAnsi="Times New Roman" w:cs="Times New Roman" w:hint="eastAsia"/>
                <w:spacing w:val="4"/>
                <w:sz w:val="20"/>
                <w:szCs w:val="20"/>
              </w:rPr>
              <w:t>2-192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10EE6"/>
    <w:rsid w:val="00522ED7"/>
    <w:rsid w:val="00547813"/>
    <w:rsid w:val="00552A1C"/>
    <w:rsid w:val="0059125A"/>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25F88"/>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45C9E"/>
    <w:rsid w:val="00C62559"/>
    <w:rsid w:val="00C721AA"/>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90D2148-28FE-4DDE-9758-CE4535460C9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2026-03-12T07:01:00Z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