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962EA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13547">
              <w:rPr>
                <w:rFonts w:hAnsi="Times New Roman" w:cs="Times New Roman" w:hint="eastAsia"/>
                <w:color w:val="auto"/>
                <w:spacing w:val="4"/>
                <w:sz w:val="16"/>
                <w:szCs w:val="16"/>
                <w:lang w:eastAsia="zh-CN"/>
              </w:rPr>
              <w:t>脈動開</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1354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1D57C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13547">
              <w:rPr>
                <w:rFonts w:hint="eastAsia"/>
                <w:color w:val="auto"/>
                <w:sz w:val="36"/>
                <w:szCs w:val="36"/>
              </w:rPr>
              <w:t>胸腔鏡下動脈管開存閉鎖術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34D2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3547">
              <w:rPr>
                <w:rFonts w:hAnsi="Times New Roman" w:cs="Times New Roman" w:hint="eastAsia"/>
                <w:spacing w:val="4"/>
                <w:sz w:val="20"/>
                <w:szCs w:val="20"/>
              </w:rPr>
              <w:t>2-402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13547"/>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10F7"/>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07129FF1-FB3B-4259-8D4B-41CD8842B2E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2026-03-12T08:05:00Z</dcterms:created>
  <dcterms:modified xsi:type="dcterms:W3CDTF">2026-03-12T08:05:00Z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10963100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