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A21CB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F478A">
              <w:rPr>
                <w:rFonts w:hAnsi="Times New Roman" w:cs="Times New Roman" w:hint="eastAsia"/>
                <w:color w:val="auto"/>
                <w:spacing w:val="4"/>
                <w:sz w:val="16"/>
                <w:szCs w:val="16"/>
                <w:lang w:eastAsia="zh-CN"/>
              </w:rPr>
              <w:t>無心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F478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63B77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F478A">
              <w:rPr>
                <w:rFonts w:hint="eastAsia"/>
                <w:color w:val="auto"/>
                <w:sz w:val="36"/>
                <w:szCs w:val="36"/>
              </w:rPr>
              <w:t>無心体双胎焼灼術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CD5D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478A">
              <w:rPr>
                <w:rFonts w:hAnsi="Times New Roman" w:cs="Times New Roman" w:hint="eastAsia"/>
                <w:spacing w:val="4"/>
                <w:sz w:val="20"/>
                <w:szCs w:val="20"/>
              </w:rPr>
              <w:t>2-500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478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06A3"/>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EA2AA-D0D5-46FE-A864-A0DC860D9FA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