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0EAD0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A46F7">
              <w:rPr>
                <w:rFonts w:hAnsi="Times New Roman" w:cs="Times New Roman" w:hint="eastAsia"/>
                <w:color w:val="auto"/>
                <w:spacing w:val="4"/>
                <w:sz w:val="16"/>
                <w:szCs w:val="16"/>
                <w:lang w:eastAsia="zh-CN"/>
              </w:rPr>
              <w:t>胎輸臍穿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A46F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2EDA50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A46F7">
              <w:rPr>
                <w:rFonts w:hint="eastAsia"/>
                <w:color w:val="auto"/>
                <w:sz w:val="36"/>
                <w:szCs w:val="36"/>
              </w:rPr>
              <w:t>胎児輸血術及び臍帯穿刺</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E982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46F7">
              <w:rPr>
                <w:rFonts w:hAnsi="Times New Roman" w:cs="Times New Roman" w:hint="eastAsia"/>
                <w:spacing w:val="4"/>
                <w:sz w:val="20"/>
                <w:szCs w:val="20"/>
              </w:rPr>
              <w:t>2-501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D0943"/>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46F7"/>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AC50F9BE-67D7-4C11-8132-392C5A37913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2026-03-12T08:23:00Z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