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AC7FB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E6D83">
              <w:rPr>
                <w:rFonts w:hAnsi="Times New Roman" w:cs="Times New Roman" w:hint="eastAsia"/>
                <w:color w:val="auto"/>
                <w:spacing w:val="4"/>
                <w:sz w:val="16"/>
                <w:szCs w:val="16"/>
                <w:lang w:eastAsia="zh-CN"/>
              </w:rPr>
              <w:t>遠隔放</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E6D83">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D191F3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E6D83">
              <w:rPr>
                <w:rFonts w:hint="eastAsia"/>
                <w:color w:val="auto"/>
                <w:sz w:val="36"/>
                <w:szCs w:val="36"/>
              </w:rPr>
              <w:t>遠隔放射線治療計画加算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E0096A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E6D83">
              <w:rPr>
                <w:rFonts w:hAnsi="Times New Roman" w:cs="Times New Roman" w:hint="eastAsia"/>
                <w:spacing w:val="4"/>
                <w:sz w:val="20"/>
                <w:szCs w:val="20"/>
              </w:rPr>
              <w:t>2-554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971F9"/>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BE6D83"/>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0689F7-6866-429F-B16D-A98CF75F1F5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2026-03-12T08:30:00Z</dcterms:created>
  <dcterms:modified xsi:type="dcterms:W3CDTF">2026-03-12T08:30:00Z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10978300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