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4FE37C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34DCC">
              <w:rPr>
                <w:rFonts w:hAnsi="Times New Roman" w:cs="Times New Roman" w:hint="eastAsia"/>
                <w:color w:val="auto"/>
                <w:spacing w:val="4"/>
                <w:sz w:val="16"/>
                <w:szCs w:val="16"/>
                <w:lang w:eastAsia="zh-CN"/>
              </w:rPr>
              <w:t>高放</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34DCC">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84DDF6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34DCC">
              <w:rPr>
                <w:rFonts w:hint="eastAsia"/>
                <w:color w:val="auto"/>
                <w:sz w:val="36"/>
                <w:szCs w:val="36"/>
              </w:rPr>
              <w:t>高エネルギー放射線治療</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8F154B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34DCC">
              <w:rPr>
                <w:rFonts w:hAnsi="Times New Roman" w:cs="Times New Roman" w:hint="eastAsia"/>
                <w:spacing w:val="4"/>
                <w:sz w:val="20"/>
                <w:szCs w:val="20"/>
              </w:rPr>
              <w:t>2-555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1AC4"/>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34DCC"/>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2C9E"/>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84DABF-F21F-44F4-85BC-0A9BE17FA678}"/>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2026-03-12T08:30:00Z</dcterms:created>
  <dcterms:modified xsi:type="dcterms:W3CDTF">2026-03-12T08:30:00Z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10978200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