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1D1DE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F71E2">
              <w:rPr>
                <w:rFonts w:hAnsi="Times New Roman" w:cs="Times New Roman" w:hint="eastAsia"/>
                <w:color w:val="auto"/>
                <w:spacing w:val="4"/>
                <w:sz w:val="16"/>
                <w:szCs w:val="16"/>
                <w:lang w:eastAsia="zh-CN"/>
              </w:rPr>
              <w:t>病理診２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F71E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4F9E33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F71E2">
              <w:rPr>
                <w:rFonts w:hint="eastAsia"/>
                <w:color w:val="auto"/>
                <w:sz w:val="36"/>
                <w:szCs w:val="36"/>
              </w:rPr>
              <w:t>病理診断管理加算２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CF7F4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71E2">
              <w:rPr>
                <w:rFonts w:hAnsi="Times New Roman" w:cs="Times New Roman" w:hint="eastAsia"/>
                <w:spacing w:val="4"/>
                <w:sz w:val="20"/>
                <w:szCs w:val="20"/>
              </w:rPr>
              <w:t>2-575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71E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040C9"/>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64D6A-0986-40F4-B096-2BDCC729DDD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2026-03-12T08:33:00Z</dcterms:created>
  <dcterms:modified xsi:type="dcterms:W3CDTF">2026-03-12T08:33:00Z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10980300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