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6AA4E27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A396C">
              <w:rPr>
                <w:rFonts w:hAnsi="Times New Roman" w:cs="Times New Roman" w:hint="eastAsia"/>
                <w:color w:val="auto"/>
                <w:spacing w:val="4"/>
                <w:sz w:val="16"/>
                <w:szCs w:val="16"/>
                <w:lang w:eastAsia="zh-CN"/>
              </w:rPr>
              <w:t>薬連強</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0A396C">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AB7D38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0A396C">
              <w:rPr>
                <w:rFonts w:hint="eastAsia"/>
                <w:color w:val="auto"/>
                <w:sz w:val="36"/>
                <w:szCs w:val="36"/>
              </w:rPr>
              <w:t>連携強化加算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4BAD3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396C">
              <w:rPr>
                <w:rFonts w:hAnsi="Times New Roman" w:cs="Times New Roman" w:hint="eastAsia"/>
                <w:spacing w:val="4"/>
                <w:sz w:val="20"/>
                <w:szCs w:val="20"/>
              </w:rPr>
              <w:t>2-595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A396C"/>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20000"/>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A8411-FCC8-4E38-891C-8BE077254EE9}"/>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