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EAEACA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30715">
              <w:rPr>
                <w:rFonts w:hAnsi="Times New Roman" w:cs="Times New Roman" w:hint="eastAsia"/>
                <w:color w:val="auto"/>
                <w:spacing w:val="4"/>
                <w:sz w:val="16"/>
                <w:szCs w:val="16"/>
                <w:lang w:eastAsia="zh-CN"/>
              </w:rPr>
              <w:t>在薬総２</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E30715">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ED4AA99"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E30715">
              <w:rPr>
                <w:rFonts w:hint="eastAsia"/>
                <w:color w:val="auto"/>
                <w:sz w:val="36"/>
                <w:szCs w:val="36"/>
              </w:rPr>
              <w:t>在宅薬学総合体制加算２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38843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0715">
              <w:rPr>
                <w:rFonts w:hAnsi="Times New Roman" w:cs="Times New Roman" w:hint="eastAsia"/>
                <w:spacing w:val="4"/>
                <w:sz w:val="20"/>
                <w:szCs w:val="20"/>
              </w:rPr>
              <w:t>2-599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0515"/>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30715"/>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73CB7-1310-4A21-975B-31F6AC92F47B}"/>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2026-03-12T08:36:00Z</dcterms:created>
  <dcterms:modified xsi:type="dcterms:W3CDTF">2026-03-12T08:36:00Z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