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18FD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5BA5">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38F5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5BA5">
              <w:rPr>
                <w:rFonts w:hint="eastAsia"/>
                <w:color w:val="auto"/>
                <w:sz w:val="32"/>
                <w:szCs w:val="32"/>
              </w:rPr>
              <w:t>処置の休日加算1（歯科点数表第2章第8部処置の通則の6に掲げる処置の休日加算1）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796C31" w:rsidR="006421D2" w:rsidRDefault="006421D2">
            <w:pPr>
              <w:kinsoku w:val="0"/>
              <w:autoSpaceDE w:val="0"/>
              <w:autoSpaceDN w:val="0"/>
              <w:spacing w:line="274" w:lineRule="atLeast"/>
              <w:rPr>
                <w:sz w:val="20"/>
                <w:szCs w:val="20"/>
              </w:rPr>
            </w:pPr>
            <w:r w:rsidRPr="001F5B58">
              <w:rPr>
                <w:sz w:val="20"/>
                <w:szCs w:val="20"/>
              </w:rPr>
              <w:t xml:space="preserve">    </w:t>
            </w:r>
            <w:r w:rsidR="008B14F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14F4"/>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5BA5"/>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132</Words>
  <Characters>753</Characters>
  <DocSecurity>0</DocSecurity>
  <Lines>6</Lines>
  <Paragraphs>1</Paragraphs>
  <ScaleCrop>false</ScaleCrop>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