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00102E3" w14:textId="44C2819D" w:rsidR="00224738" w:rsidRPr="00C91095" w:rsidRDefault="00224738" w:rsidP="009C2090">
            <w:pPr>
              <w:spacing w:line="378" w:lineRule="exact"/>
              <w:ind w:left="218" w:right="912" w:hangingChars="100" w:hanging="218"/>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 xml:space="preserve">オ　</w:t>
            </w:r>
            <w:r w:rsidR="009C2090" w:rsidRPr="00FC1A56">
              <w:rPr>
                <w:rFonts w:asciiTheme="majorEastAsia" w:eastAsiaTheme="majorEastAsia" w:hAnsiTheme="majorEastAsia" w:hint="eastAsia"/>
                <w:color w:val="auto"/>
                <w:sz w:val="20"/>
                <w:szCs w:val="20"/>
              </w:rPr>
              <w:t>１月あたりの</w:t>
            </w:r>
            <w:r w:rsidRPr="00FC1A56">
              <w:rPr>
                <w:rFonts w:asciiTheme="majorEastAsia" w:eastAsiaTheme="majorEastAsia" w:hAnsiTheme="majorEastAsia" w:hint="eastAsia"/>
                <w:color w:val="auto"/>
                <w:sz w:val="20"/>
                <w:szCs w:val="20"/>
              </w:rPr>
              <w:t>処方箋受付回数</w:t>
            </w:r>
            <w:r w:rsidR="009C2090" w:rsidRPr="00FC1A56">
              <w:rPr>
                <w:rFonts w:asciiTheme="majorEastAsia" w:eastAsiaTheme="majorEastAsia" w:hAnsiTheme="majorEastAsia" w:hint="eastAsia"/>
                <w:color w:val="auto"/>
                <w:sz w:val="20"/>
                <w:szCs w:val="20"/>
              </w:rPr>
              <w:t>（④</w:t>
            </w:r>
            <w:r w:rsidR="009C2090" w:rsidRPr="00FC1A56">
              <w:rPr>
                <w:rFonts w:asciiTheme="majorEastAsia" w:eastAsiaTheme="majorEastAsia" w:hAnsiTheme="majorEastAsia"/>
                <w:color w:val="auto"/>
                <w:sz w:val="20"/>
                <w:szCs w:val="20"/>
              </w:rPr>
              <w:t>/③）</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66BF22D1"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sidR="009C2090" w:rsidRPr="00FC1A56">
              <w:rPr>
                <w:rFonts w:asciiTheme="majorEastAsia" w:eastAsiaTheme="majorEastAsia" w:hAnsiTheme="majorEastAsia" w:cs="ＭＳ ゴシック"/>
                <w:color w:val="auto"/>
                <w:spacing w:val="2"/>
                <w:sz w:val="20"/>
                <w:szCs w:val="20"/>
              </w:rPr>
              <w:t>/③</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3643F"/>
    <w:rsid w:val="00642FDE"/>
    <w:rsid w:val="00654A4B"/>
    <w:rsid w:val="0066244C"/>
    <w:rsid w:val="00662535"/>
    <w:rsid w:val="0066345D"/>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2090"/>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01E9"/>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1A56"/>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2.xml><?xml version="1.0" encoding="utf-8"?>
<ds:datastoreItem xmlns:ds="http://schemas.openxmlformats.org/officeDocument/2006/customXml" ds:itemID="{A72AE44F-83CC-4628-9C7A-2C974477CBD0}"/>
</file>

<file path=customXml/itemProps3.xml><?xml version="1.0" encoding="utf-8"?>
<ds:datastoreItem xmlns:ds="http://schemas.openxmlformats.org/officeDocument/2006/customXml" ds:itemID="{907D6006-9C45-42D1-9236-5E2FA6494AF0}"/>
</file>

<file path=customXml/itemProps4.xml><?xml version="1.0" encoding="utf-8"?>
<ds:datastoreItem xmlns:ds="http://schemas.openxmlformats.org/officeDocument/2006/customXml" ds:itemID="{474E64C2-74DC-4556-9C36-297AFDC2C553}"/>
</file>

<file path=docProps/app.xml><?xml version="1.0" encoding="utf-8"?>
<Properties xmlns="http://schemas.openxmlformats.org/officeDocument/2006/extended-properties" xmlns:vt="http://schemas.openxmlformats.org/officeDocument/2006/docPropsVTypes">
  <Template>Normal.dotm</Template>
  <TotalTime>0</TotalTime>
  <Pages>6</Pages>
  <Words>4719</Words>
  <Characters>659</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2024-05-21T01:17:00Z</dcterms:created>
  <dcterms:modified xsi:type="dcterms:W3CDTF">2024-05-21T01:17:00Z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