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C3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150D73F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CD0ED0">
              <w:rPr>
                <w:rFonts w:ascii="ＭＳ Ｐゴシック" w:eastAsia="ＭＳ Ｐゴシック" w:hAnsi="ＭＳ Ｐゴシック" w:cs="ＭＳ Ｐゴシック" w:hint="eastAsia"/>
                <w:color w:val="000000"/>
                <w:kern w:val="0"/>
                <w:szCs w:val="21"/>
              </w:rPr>
              <w:t>医療観察治療抵抗性統合失調症治療指導管理料</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lastRenderedPageBreak/>
        <w:t>様式</w:t>
      </w:r>
      <w:r w:rsidRPr="009D4841">
        <w:rPr>
          <w:rFonts w:ascii="ＭＳ Ｐゴシック" w:eastAsia="ＭＳ Ｐゴシック" w:hAnsi="ＭＳ Ｐゴシック" w:cs="ＭＳ ゴシック"/>
          <w:spacing w:val="20"/>
          <w:kern w:val="0"/>
          <w:sz w:val="24"/>
          <w:szCs w:val="24"/>
        </w:rPr>
        <w:t>10</w:t>
      </w:r>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FE04506" w14:textId="0C10D0E5" w:rsidR="00A92380" w:rsidRPr="009D4841" w:rsidRDefault="00206228" w:rsidP="00FF386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p w14:paraId="49C4B54C" w14:textId="77777777" w:rsidR="00A92380" w:rsidRPr="009D4841" w:rsidRDefault="00A92380">
      <w:pPr>
        <w:widowControl/>
        <w:jc w:val="left"/>
      </w:pPr>
    </w:p>
    <w:p w14:paraId="7EDB0671" w14:textId="1541D6CE" w:rsidR="00383B3D" w:rsidRPr="009D4841" w:rsidRDefault="00383B3D" w:rsidP="00383B3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383B3D" w:rsidRPr="009D4841" w:rsidSect="006D22CB">
          <w:type w:val="continuous"/>
          <w:pgSz w:w="11906" w:h="16838"/>
          <w:pgMar w:top="1985" w:right="1701" w:bottom="1701" w:left="1701" w:header="851" w:footer="992" w:gutter="0"/>
          <w:cols w:space="425"/>
          <w:docGrid w:type="lines" w:linePitch="360"/>
        </w:sectPr>
      </w:pPr>
    </w:p>
    <w:p w14:paraId="73BFD34F"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0E269238"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7689557E" w14:textId="77777777" w:rsidR="00A92380" w:rsidRPr="009D4841" w:rsidRDefault="00A92380" w:rsidP="00CD0ED0">
      <w:pPr>
        <w:widowControl/>
        <w:spacing w:before="100" w:beforeAutospacing="1" w:after="100" w:afterAutospacing="1" w:line="240" w:lineRule="atLeast"/>
        <w:jc w:val="left"/>
      </w:pPr>
    </w:p>
    <w:sectPr w:rsidR="00A92380" w:rsidRPr="009D4841" w:rsidSect="00CD0ED0">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D760" w14:textId="77777777" w:rsidR="007F0793" w:rsidRDefault="007F07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E88F" w14:textId="77777777" w:rsidR="007F0793" w:rsidRDefault="007F07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14DE" w14:textId="77777777" w:rsidR="007F0793" w:rsidRDefault="007F07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9E95" w14:textId="77777777" w:rsidR="007F0793" w:rsidRDefault="007F07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381" w14:textId="77777777" w:rsidR="007F0793" w:rsidRDefault="007F07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DAD" w14:textId="77777777" w:rsidR="007F0793" w:rsidRDefault="007F07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511625">
    <w:abstractNumId w:val="11"/>
  </w:num>
  <w:num w:numId="2" w16cid:durableId="1914660055">
    <w:abstractNumId w:val="6"/>
  </w:num>
  <w:num w:numId="3" w16cid:durableId="893660416">
    <w:abstractNumId w:val="3"/>
  </w:num>
  <w:num w:numId="4" w16cid:durableId="1698042043">
    <w:abstractNumId w:val="7"/>
  </w:num>
  <w:num w:numId="5" w16cid:durableId="338582700">
    <w:abstractNumId w:val="10"/>
  </w:num>
  <w:num w:numId="6" w16cid:durableId="1193761867">
    <w:abstractNumId w:val="12"/>
  </w:num>
  <w:num w:numId="7" w16cid:durableId="1822261145">
    <w:abstractNumId w:val="5"/>
  </w:num>
  <w:num w:numId="8" w16cid:durableId="1187254131">
    <w:abstractNumId w:val="0"/>
  </w:num>
  <w:num w:numId="9" w16cid:durableId="1891645223">
    <w:abstractNumId w:val="8"/>
  </w:num>
  <w:num w:numId="10" w16cid:durableId="692850187">
    <w:abstractNumId w:val="2"/>
  </w:num>
  <w:num w:numId="11" w16cid:durableId="801994725">
    <w:abstractNumId w:val="1"/>
  </w:num>
  <w:num w:numId="12" w16cid:durableId="2021806938">
    <w:abstractNumId w:val="9"/>
  </w:num>
  <w:num w:numId="13" w16cid:durableId="1367024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7F0793"/>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0ED0"/>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F09668CA-99FC-40BB-ADA9-09D5603DD52D}">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2023-07-20T01:47:00Z</dcterms:created>
  <dcterms:modified xsi:type="dcterms:W3CDTF">2023-07-20T01:47:00Z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