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1D20FE88" w:rsidR="006421D2" w:rsidRPr="00234138" w:rsidRDefault="005727F5">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15D16167" wp14:editId="275DF370">
                <wp:simplePos x="0" y="0"/>
                <wp:positionH relativeFrom="margin">
                  <wp:align>right</wp:align>
                </wp:positionH>
                <wp:positionV relativeFrom="paragraph">
                  <wp:posOffset>-9525</wp:posOffset>
                </wp:positionV>
                <wp:extent cx="1543050" cy="45720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chemeClr val="lt1"/>
                        </a:solidFill>
                        <a:ln w="28575">
                          <a:solidFill>
                            <a:prstClr val="black"/>
                          </a:solidFill>
                        </a:ln>
                      </wps:spPr>
                      <wps:txbx>
                        <w:txbxContent>
                          <w:p w14:paraId="72CF74C4" w14:textId="77777777" w:rsidR="005727F5" w:rsidRPr="00CD1091" w:rsidRDefault="005727F5" w:rsidP="005727F5">
                            <w:pPr>
                              <w:jc w:val="center"/>
                              <w:rPr>
                                <w:b/>
                                <w:bCs/>
                                <w:sz w:val="28"/>
                                <w:szCs w:val="28"/>
                              </w:rPr>
                            </w:pPr>
                            <w:r w:rsidRPr="00CD1091">
                              <w:rPr>
                                <w:rFonts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D16167" id="_x0000_t202" coordsize="21600,21600" o:spt="202" path="m,l,21600r21600,l21600,xe">
                <v:stroke joinstyle="miter"/>
                <v:path gradientshapeok="t" o:connecttype="rect"/>
              </v:shapetype>
              <v:shape id="テキスト ボックス 1" o:spid="_x0000_s1026" type="#_x0000_t202" style="position:absolute;margin-left:70.3pt;margin-top:-.75pt;width:121.5pt;height:36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" fillcolor="white [3201]" strokeweight="2.25pt">
                <v:textbox>
                  <w:txbxContent>
                    <w:p w14:paraId="72CF74C4" w14:textId="77777777" w:rsidR="005727F5" w:rsidRPr="00CD1091" w:rsidRDefault="005727F5" w:rsidP="005727F5">
                      <w:pPr>
                        <w:jc w:val="center"/>
                        <w:rPr>
                          <w:b/>
                          <w:bCs/>
                          <w:sz w:val="28"/>
                          <w:szCs w:val="28"/>
                        </w:rPr>
                      </w:pPr>
                      <w:r w:rsidRPr="00CD1091">
                        <w:rPr>
                          <w:rFonts w:hint="eastAsia"/>
                          <w:b/>
                          <w:bCs/>
                          <w:sz w:val="28"/>
                          <w:szCs w:val="28"/>
                        </w:rPr>
                        <w:t>経過措置</w:t>
                      </w:r>
                    </w:p>
                  </w:txbxContent>
                </v:textbox>
                <w10:wrap anchorx="margin"/>
              </v:shape>
            </w:pict>
          </mc:Fallback>
        </mc:AlternateContent>
      </w:r>
      <w:r w:rsidR="006421D2"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27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37A6">
              <w:rPr>
                <w:rFonts w:hAnsi="Times New Roman" w:hint="eastAsia"/>
                <w:color w:val="auto"/>
                <w:spacing w:val="13"/>
                <w:w w:val="94"/>
                <w:fitText w:val="1000" w:id="-636787200"/>
              </w:rPr>
              <w:t>担当者氏</w:t>
            </w:r>
            <w:r w:rsidRPr="001937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37A6">
              <w:rPr>
                <w:rFonts w:hAnsi="Times New Roman" w:hint="eastAsia"/>
                <w:color w:val="auto"/>
                <w:spacing w:val="40"/>
                <w:fitText w:val="1000" w:id="-636787199"/>
              </w:rPr>
              <w:t>電話番</w:t>
            </w:r>
            <w:r w:rsidRPr="001937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311B69" w:rsidR="006421D2" w:rsidRDefault="006421D2">
            <w:pPr>
              <w:kinsoku w:val="0"/>
              <w:autoSpaceDE w:val="0"/>
              <w:autoSpaceDN w:val="0"/>
              <w:spacing w:line="274" w:lineRule="atLeast"/>
              <w:rPr>
                <w:sz w:val="20"/>
                <w:szCs w:val="20"/>
              </w:rPr>
            </w:pPr>
            <w:r w:rsidRPr="001F5B58">
              <w:rPr>
                <w:sz w:val="20"/>
                <w:szCs w:val="20"/>
              </w:rPr>
              <w:t xml:space="preserve">    </w:t>
            </w:r>
            <w:r w:rsidR="0000644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446"/>
    <w:rsid w:val="000207E9"/>
    <w:rsid w:val="00025CEE"/>
    <w:rsid w:val="00045696"/>
    <w:rsid w:val="00061594"/>
    <w:rsid w:val="000857CB"/>
    <w:rsid w:val="000B02CD"/>
    <w:rsid w:val="000C6EF4"/>
    <w:rsid w:val="001553FF"/>
    <w:rsid w:val="00155E18"/>
    <w:rsid w:val="00166130"/>
    <w:rsid w:val="001937A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2958"/>
    <w:rsid w:val="004001CF"/>
    <w:rsid w:val="00426BCD"/>
    <w:rsid w:val="00455E47"/>
    <w:rsid w:val="0047651A"/>
    <w:rsid w:val="004A1395"/>
    <w:rsid w:val="004B02C2"/>
    <w:rsid w:val="004C4DBD"/>
    <w:rsid w:val="004F5380"/>
    <w:rsid w:val="005045A2"/>
    <w:rsid w:val="00522ED7"/>
    <w:rsid w:val="005727F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595</Words>
  <Characters>263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