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1213" w14:textId="77777777" w:rsidR="00E20D3B" w:rsidRDefault="00E20D3B" w:rsidP="00200B08">
      <w:r>
        <w:separator/>
      </w:r>
    </w:p>
  </w:endnote>
  <w:endnote w:type="continuationSeparator" w:id="0">
    <w:p w14:paraId="1CDE1AD6" w14:textId="77777777" w:rsidR="00E20D3B" w:rsidRDefault="00E20D3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4323" w14:textId="77777777" w:rsidR="00E20D3B" w:rsidRDefault="00E20D3B" w:rsidP="00200B08">
      <w:r>
        <w:separator/>
      </w:r>
    </w:p>
  </w:footnote>
  <w:footnote w:type="continuationSeparator" w:id="0">
    <w:p w14:paraId="44A8F0EA" w14:textId="77777777" w:rsidR="00E20D3B" w:rsidRDefault="00E20D3B"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15:docId w15:val="{C12752D3-9F11-4CC8-B595-01AAF70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618C677D95B14598EC622F6D3503AC" ma:contentTypeVersion="12" ma:contentTypeDescription="新しいドキュメントを作成します。" ma:contentTypeScope="" ma:versionID="ebf130747870de6a2ebcbd007b27bdf4">
  <xsd:schema xmlns:xsd="http://www.w3.org/2001/XMLSchema" xmlns:xs="http://www.w3.org/2001/XMLSchema" xmlns:p="http://schemas.microsoft.com/office/2006/metadata/properties" xmlns:ns2="a1b703ee-be5d-4c74-a122-63a1f296d5a3" xmlns:ns3="f152f71d-16c8-4d20-8104-d1012a1529fd" targetNamespace="http://schemas.microsoft.com/office/2006/metadata/properties" ma:root="true" ma:fieldsID="3b39d8c9236b5809ca5f851b783f4536" ns2:_="" ns3:_="">
    <xsd:import namespace="a1b703ee-be5d-4c74-a122-63a1f296d5a3"/>
    <xsd:import namespace="f152f71d-16c8-4d20-8104-d1012a1529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703ee-be5d-4c74-a122-63a1f296d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2f71d-16c8-4d20-8104-d1012a1529f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152f71d-16c8-4d20-8104-d1012a1529fd">
      <UserInfo>
        <DisplayName/>
        <AccountId xsi:nil="true"/>
        <AccountType/>
      </UserInfo>
    </SharedWithUsers>
    <lcf76f155ced4ddcb4097134ff3c332f xmlns="a1b703ee-be5d-4c74-a122-63a1f296d5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E2CC09-83A6-481E-9E2A-38073C3F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703ee-be5d-4c74-a122-63a1f296d5a3"/>
    <ds:schemaRef ds:uri="f152f71d-16c8-4d20-8104-d1012a152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B4C0C-488A-44C5-9D2F-51160D8B4CA2}">
  <ds:schemaRefs>
    <ds:schemaRef ds:uri="http://schemas.microsoft.com/sharepoint/v3/contenttype/forms"/>
  </ds:schemaRefs>
</ds:datastoreItem>
</file>

<file path=customXml/itemProps3.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customXml/itemProps4.xml><?xml version="1.0" encoding="utf-8"?>
<ds:datastoreItem xmlns:ds="http://schemas.openxmlformats.org/officeDocument/2006/customXml" ds:itemID="{DC3183E4-1CA2-4194-8CCD-81324D4A3A2D}">
  <ds:schemaRef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f152f71d-16c8-4d20-8104-d1012a1529fd"/>
    <ds:schemaRef ds:uri="a1b703ee-be5d-4c74-a122-63a1f296d5a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956</Words>
  <Characters>5450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お客様</dc:creator>
  <cp:keywords/>
  <dc:description/>
  <cp:lastModifiedBy>渡辺 真(watanabe-makoto01.7l5)</cp:lastModifiedBy>
  <cp:revision>23</cp:revision>
  <dcterms:created xsi:type="dcterms:W3CDTF">2024-03-04T01:32:00Z</dcterms:created>
  <dcterms:modified xsi:type="dcterms:W3CDTF">2024-05-29T02:30:00Z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0x0101006F618C677D95B14598EC622F6D3503AC</vt:lpwstr>
  </property>
  <property fmtid="{D5CDD505-2E9C-101B-9397-08002B2CF9AE}" pid="3" name="MediaServiceImageTags">
    <vt:lpwstr/>
  </property>
  <property fmtid="{D5CDD505-2E9C-101B-9397-08002B2CF9AE}" pid="4" name="Order">
    <vt:r8>131300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